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90" w:rsidRDefault="0011551B">
      <w:r>
        <w:rPr>
          <w:rFonts w:ascii="Tw Cen MT" w:hAnsi="Tw Cen MT"/>
          <w:noProof/>
        </w:rPr>
        <w:drawing>
          <wp:anchor distT="0" distB="0" distL="114300" distR="114300" simplePos="0" relativeHeight="251661312" behindDoc="1" locked="0" layoutInCell="1" allowOverlap="1" wp14:anchorId="05456409" wp14:editId="521B508F">
            <wp:simplePos x="0" y="0"/>
            <wp:positionH relativeFrom="column">
              <wp:posOffset>8639175</wp:posOffset>
            </wp:positionH>
            <wp:positionV relativeFrom="paragraph">
              <wp:posOffset>-295275</wp:posOffset>
            </wp:positionV>
            <wp:extent cx="742950" cy="1398270"/>
            <wp:effectExtent l="0" t="0" r="0" b="0"/>
            <wp:wrapNone/>
            <wp:docPr id="2" name="Picture 2" descr="C:\Users\Sarah\AppData\Local\Microsoft\Windows\Temporary Internet Files\Content.IE5\G1EKPUJP\MC9002404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G1EKPUJP\MC900240451[1].wmf"/>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42950"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33D">
        <w:rPr>
          <w:noProof/>
        </w:rPr>
        <mc:AlternateContent>
          <mc:Choice Requires="wps">
            <w:drawing>
              <wp:anchor distT="0" distB="0" distL="114300" distR="114300" simplePos="0" relativeHeight="251659264" behindDoc="0" locked="0" layoutInCell="1" allowOverlap="1" wp14:anchorId="5DDCC405" wp14:editId="7958D4D8">
                <wp:simplePos x="0" y="0"/>
                <wp:positionH relativeFrom="column">
                  <wp:posOffset>-171450</wp:posOffset>
                </wp:positionH>
                <wp:positionV relativeFrom="paragraph">
                  <wp:posOffset>-295275</wp:posOffset>
                </wp:positionV>
                <wp:extent cx="182880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590550"/>
                        </a:xfrm>
                        <a:prstGeom prst="rect">
                          <a:avLst/>
                        </a:prstGeom>
                        <a:noFill/>
                        <a:ln>
                          <a:noFill/>
                        </a:ln>
                        <a:effectLst/>
                      </wps:spPr>
                      <wps:txbx>
                        <w:txbxContent>
                          <w:p w:rsidR="00965EE0" w:rsidRPr="004A0B91" w:rsidRDefault="0011551B" w:rsidP="00965EE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Senior Seminar Course Introduction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5pt;margin-top:-23.25pt;width:2in;height:46.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" filled="f" stroked="f">
                <v:textbox>
                  <w:txbxContent>
                    <w:p w:rsidR="00965EE0" w:rsidRPr="004A0B91" w:rsidRDefault="0011551B" w:rsidP="00965EE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Senior Seminar Course Introduction</w:t>
                      </w:r>
                    </w:p>
                  </w:txbxContent>
                </v:textbox>
              </v:shape>
            </w:pict>
          </mc:Fallback>
        </mc:AlternateContent>
      </w:r>
    </w:p>
    <w:p w:rsidR="00E8733D" w:rsidRPr="00A52ACB" w:rsidRDefault="00EC2390" w:rsidP="00E8733D">
      <w:pPr>
        <w:autoSpaceDE w:val="0"/>
        <w:autoSpaceDN w:val="0"/>
        <w:adjustRightInd w:val="0"/>
        <w:rPr>
          <w:rFonts w:ascii="Tw Cen MT" w:hAnsi="Tw Cen MT"/>
          <w:b/>
        </w:rPr>
      </w:pPr>
      <w:r w:rsidRPr="00192A18">
        <w:rPr>
          <w:rFonts w:ascii="Tw Cen MT" w:hAnsi="Tw Cen MT"/>
          <w:b/>
          <w:sz w:val="24"/>
          <w:u w:val="single"/>
        </w:rPr>
        <w:t>Learning Outcomes:</w:t>
      </w:r>
      <w:r>
        <w:rPr>
          <w:rFonts w:ascii="Tw Cen MT" w:hAnsi="Tw Cen MT"/>
          <w:sz w:val="24"/>
        </w:rPr>
        <w:t xml:space="preserve"> </w:t>
      </w:r>
      <w:r w:rsidR="00E8733D" w:rsidRPr="00A52ACB">
        <w:rPr>
          <w:rFonts w:ascii="Tw Cen MT" w:hAnsi="Tw Cen MT"/>
          <w:b/>
        </w:rPr>
        <w:t>St</w:t>
      </w:r>
      <w:r w:rsidR="00A52ACB">
        <w:rPr>
          <w:rFonts w:ascii="Tw Cen MT" w:hAnsi="Tw Cen MT"/>
          <w:b/>
        </w:rPr>
        <w:t xml:space="preserve">udents will </w:t>
      </w:r>
      <w:r w:rsidR="0011551B">
        <w:rPr>
          <w:rFonts w:ascii="Tw Cen MT" w:hAnsi="Tw Cen MT"/>
          <w:b/>
        </w:rPr>
        <w:t>understand the units and overall intent of the Senior Seminar.</w:t>
      </w:r>
    </w:p>
    <w:tbl>
      <w:tblPr>
        <w:tblStyle w:val="TableGrid"/>
        <w:tblW w:w="0" w:type="auto"/>
        <w:tblLook w:val="04A0" w:firstRow="1" w:lastRow="0" w:firstColumn="1" w:lastColumn="0" w:noHBand="0" w:noVBand="1"/>
      </w:tblPr>
      <w:tblGrid>
        <w:gridCol w:w="1838"/>
        <w:gridCol w:w="4208"/>
        <w:gridCol w:w="4489"/>
        <w:gridCol w:w="4081"/>
      </w:tblGrid>
      <w:tr w:rsidR="00FF4AF9" w:rsidTr="00AA042D">
        <w:tc>
          <w:tcPr>
            <w:tcW w:w="1838" w:type="dxa"/>
          </w:tcPr>
          <w:p w:rsidR="001809FF" w:rsidRPr="001809FF" w:rsidRDefault="001809FF">
            <w:pPr>
              <w:rPr>
                <w:rFonts w:ascii="Tw Cen MT" w:hAnsi="Tw Cen MT"/>
                <w:b/>
                <w:sz w:val="24"/>
              </w:rPr>
            </w:pPr>
            <w:r>
              <w:rPr>
                <w:rFonts w:ascii="Tw Cen MT" w:hAnsi="Tw Cen MT"/>
                <w:b/>
                <w:sz w:val="24"/>
              </w:rPr>
              <w:t>Alignment with Standards:</w:t>
            </w:r>
          </w:p>
        </w:tc>
        <w:tc>
          <w:tcPr>
            <w:tcW w:w="12778" w:type="dxa"/>
            <w:gridSpan w:val="3"/>
          </w:tcPr>
          <w:p w:rsidR="001809FF" w:rsidRDefault="00965EE0" w:rsidP="0061139C">
            <w:pPr>
              <w:rPr>
                <w:rFonts w:ascii="Tw Cen MT" w:hAnsi="Tw Cen MT" w:cs="Arial"/>
              </w:rPr>
            </w:pPr>
            <w:r w:rsidRPr="0061139C">
              <w:rPr>
                <w:rFonts w:ascii="Tw Cen MT" w:hAnsi="Tw Cen MT" w:cs="Arial"/>
                <w:b/>
              </w:rPr>
              <w:t>American School Counselor Association National Standards:</w:t>
            </w:r>
            <w:r w:rsidRPr="0061139C">
              <w:rPr>
                <w:rFonts w:ascii="Tw Cen MT" w:hAnsi="Tw Cen MT" w:cs="Arial"/>
              </w:rPr>
              <w:t xml:space="preserve"> This lesson is aligned with ASCA Academic B2.7 and C1.5 and with Personal &amp; Social B1.12. Students will identify postsecondary options that are consistent with their interest, achievement, aptitude, and abilities. They will demonstrate understanding that school success is necessary for postsecondary success and will develop an action plan to achieve their goals.</w:t>
            </w:r>
          </w:p>
          <w:p w:rsidR="00A52ACB" w:rsidRDefault="00A52ACB" w:rsidP="00A52ACB">
            <w:p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21</w:t>
            </w:r>
            <w:r>
              <w:rPr>
                <w:rFonts w:ascii="Tw Cen MT" w:hAnsi="Tw Cen MT" w:cs="Tw Cen MT"/>
                <w:b/>
                <w:color w:val="000000"/>
                <w:sz w:val="23"/>
                <w:szCs w:val="23"/>
                <w:vertAlign w:val="superscript"/>
              </w:rPr>
              <w:t>st</w:t>
            </w:r>
            <w:r>
              <w:rPr>
                <w:rFonts w:ascii="Tw Cen MT" w:hAnsi="Tw Cen MT" w:cs="Tw Cen MT"/>
                <w:b/>
                <w:color w:val="000000"/>
                <w:sz w:val="23"/>
                <w:szCs w:val="23"/>
              </w:rPr>
              <w:t xml:space="preserve"> Century Skills:</w:t>
            </w:r>
            <w:r>
              <w:rPr>
                <w:rFonts w:ascii="Tw Cen MT" w:hAnsi="Tw Cen MT" w:cs="Tw Cen MT"/>
                <w:color w:val="000000"/>
                <w:sz w:val="23"/>
                <w:szCs w:val="23"/>
              </w:rPr>
              <w:t xml:space="preserve"> </w:t>
            </w:r>
          </w:p>
          <w:p w:rsidR="00A52ACB" w:rsidRDefault="00A52ACB" w:rsidP="00A52ACB">
            <w:pPr>
              <w:pStyle w:val="ListParagraph"/>
              <w:numPr>
                <w:ilvl w:val="0"/>
                <w:numId w:val="8"/>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 xml:space="preserve">Self-direction: </w:t>
            </w:r>
            <w:r>
              <w:rPr>
                <w:rFonts w:ascii="Tw Cen MT" w:hAnsi="Tw Cen MT" w:cs="Tw Cen MT"/>
                <w:color w:val="000000"/>
                <w:sz w:val="23"/>
                <w:szCs w:val="23"/>
              </w:rPr>
              <w:t>Systematic and comprehensive planning, Self-instruction, Resources, Effective and sustained effort, Self-monitoring and reflection, Results are valuable</w:t>
            </w:r>
          </w:p>
          <w:p w:rsidR="00A52ACB" w:rsidRDefault="00A52ACB" w:rsidP="00A52ACB">
            <w:pPr>
              <w:pStyle w:val="ListParagraph"/>
              <w:numPr>
                <w:ilvl w:val="0"/>
                <w:numId w:val="8"/>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 xml:space="preserve">Digital Communication: </w:t>
            </w:r>
            <w:r>
              <w:rPr>
                <w:rFonts w:ascii="Tw Cen MT" w:hAnsi="Tw Cen MT" w:cs="Tw Cen MT"/>
                <w:color w:val="000000"/>
                <w:sz w:val="23"/>
                <w:szCs w:val="23"/>
              </w:rPr>
              <w:t>Electronic environments, Media: Awareness of range of media, Conventions and etiquette in media,  Design elements, Responsible behavior</w:t>
            </w:r>
          </w:p>
          <w:p w:rsidR="00A52ACB" w:rsidRPr="00A52ACB" w:rsidRDefault="00A52ACB" w:rsidP="00A52ACB">
            <w:pPr>
              <w:pStyle w:val="ListParagraph"/>
              <w:numPr>
                <w:ilvl w:val="0"/>
                <w:numId w:val="8"/>
              </w:numPr>
              <w:autoSpaceDE w:val="0"/>
              <w:autoSpaceDN w:val="0"/>
              <w:adjustRightInd w:val="0"/>
              <w:rPr>
                <w:rFonts w:ascii="Tw Cen MT" w:hAnsi="Tw Cen MT" w:cs="Tw Cen MT"/>
                <w:color w:val="000000"/>
                <w:sz w:val="23"/>
                <w:szCs w:val="23"/>
              </w:rPr>
            </w:pPr>
            <w:r w:rsidRPr="00A52ACB">
              <w:rPr>
                <w:rFonts w:ascii="Tw Cen MT" w:hAnsi="Tw Cen MT" w:cs="Tw Cen MT"/>
                <w:b/>
                <w:color w:val="000000"/>
                <w:sz w:val="23"/>
                <w:szCs w:val="23"/>
              </w:rPr>
              <w:t>Problem Solving:</w:t>
            </w:r>
            <w:r w:rsidRPr="00A52ACB">
              <w:rPr>
                <w:rFonts w:ascii="Tw Cen MT" w:hAnsi="Tw Cen MT" w:cs="Tw Cen MT"/>
                <w:color w:val="000000"/>
                <w:sz w:val="23"/>
                <w:szCs w:val="23"/>
              </w:rPr>
              <w:t xml:space="preserve">  Identifying and addressing obstacles, Identifying solutions, Solving the problem, Self-evaluation and reflection</w:t>
            </w:r>
          </w:p>
        </w:tc>
      </w:tr>
      <w:tr w:rsidR="00FF4AF9" w:rsidTr="00E8733D">
        <w:trPr>
          <w:trHeight w:val="350"/>
        </w:trPr>
        <w:tc>
          <w:tcPr>
            <w:tcW w:w="1838" w:type="dxa"/>
          </w:tcPr>
          <w:p w:rsidR="00C12543" w:rsidRPr="001809FF" w:rsidRDefault="00C12543" w:rsidP="00026BC3">
            <w:pPr>
              <w:rPr>
                <w:rFonts w:ascii="Tw Cen MT" w:hAnsi="Tw Cen MT"/>
                <w:b/>
                <w:sz w:val="24"/>
              </w:rPr>
            </w:pPr>
            <w:r>
              <w:rPr>
                <w:rFonts w:ascii="Tw Cen MT" w:hAnsi="Tw Cen MT"/>
                <w:b/>
                <w:sz w:val="24"/>
              </w:rPr>
              <w:t>Materials:</w:t>
            </w:r>
          </w:p>
        </w:tc>
        <w:tc>
          <w:tcPr>
            <w:tcW w:w="4208" w:type="dxa"/>
          </w:tcPr>
          <w:p w:rsidR="00F262B5" w:rsidRPr="00532363" w:rsidRDefault="00C12543" w:rsidP="00F262B5">
            <w:pPr>
              <w:pStyle w:val="ListParagraph"/>
              <w:numPr>
                <w:ilvl w:val="0"/>
                <w:numId w:val="2"/>
              </w:numPr>
              <w:rPr>
                <w:rFonts w:ascii="Tw Cen MT" w:hAnsi="Tw Cen MT"/>
                <w:i/>
                <w:sz w:val="20"/>
                <w:szCs w:val="20"/>
              </w:rPr>
            </w:pPr>
            <w:r>
              <w:rPr>
                <w:rFonts w:ascii="Tw Cen MT" w:hAnsi="Tw Cen MT"/>
                <w:b/>
                <w:sz w:val="24"/>
              </w:rPr>
              <w:t>Teacher Lesson</w:t>
            </w:r>
            <w:r w:rsidR="00751D42">
              <w:rPr>
                <w:rFonts w:ascii="Tw Cen MT" w:hAnsi="Tw Cen MT"/>
                <w:b/>
                <w:sz w:val="24"/>
              </w:rPr>
              <w:t xml:space="preserve"> </w:t>
            </w:r>
            <w:r w:rsidR="00532363">
              <w:rPr>
                <w:rFonts w:ascii="Tw Cen MT" w:hAnsi="Tw Cen MT"/>
                <w:b/>
                <w:sz w:val="24"/>
              </w:rPr>
              <w:t>&amp; folder/resources:</w:t>
            </w:r>
          </w:p>
          <w:p w:rsidR="00532363" w:rsidRDefault="00532363" w:rsidP="00532363">
            <w:pPr>
              <w:pStyle w:val="ListParagraph"/>
              <w:numPr>
                <w:ilvl w:val="0"/>
                <w:numId w:val="2"/>
              </w:numPr>
              <w:rPr>
                <w:rFonts w:ascii="Tw Cen MT" w:hAnsi="Tw Cen MT"/>
                <w:i/>
                <w:sz w:val="20"/>
                <w:szCs w:val="20"/>
              </w:rPr>
            </w:pPr>
            <w:proofErr w:type="spellStart"/>
            <w:r w:rsidRPr="00532363">
              <w:rPr>
                <w:rFonts w:ascii="Tw Cen MT" w:hAnsi="Tw Cen MT"/>
                <w:i/>
                <w:sz w:val="20"/>
                <w:szCs w:val="20"/>
              </w:rPr>
              <w:t>CommonSenseMedia</w:t>
            </w:r>
            <w:proofErr w:type="spellEnd"/>
          </w:p>
          <w:p w:rsidR="00532363" w:rsidRDefault="00532363" w:rsidP="00532363">
            <w:pPr>
              <w:pStyle w:val="ListParagraph"/>
              <w:numPr>
                <w:ilvl w:val="0"/>
                <w:numId w:val="2"/>
              </w:numPr>
              <w:rPr>
                <w:rFonts w:ascii="Tw Cen MT" w:hAnsi="Tw Cen MT"/>
                <w:i/>
                <w:sz w:val="20"/>
                <w:szCs w:val="20"/>
              </w:rPr>
            </w:pPr>
            <w:r w:rsidRPr="00532363">
              <w:rPr>
                <w:rFonts w:ascii="Tw Cen MT" w:hAnsi="Tw Cen MT"/>
                <w:i/>
                <w:sz w:val="20"/>
                <w:szCs w:val="20"/>
              </w:rPr>
              <w:t>Course Tools</w:t>
            </w:r>
          </w:p>
          <w:p w:rsidR="00532363" w:rsidRDefault="00532363" w:rsidP="00532363">
            <w:pPr>
              <w:pStyle w:val="ListParagraph"/>
              <w:numPr>
                <w:ilvl w:val="0"/>
                <w:numId w:val="2"/>
              </w:numPr>
              <w:rPr>
                <w:rFonts w:ascii="Tw Cen MT" w:hAnsi="Tw Cen MT"/>
                <w:i/>
                <w:sz w:val="20"/>
                <w:szCs w:val="20"/>
              </w:rPr>
            </w:pPr>
            <w:r w:rsidRPr="00532363">
              <w:rPr>
                <w:rFonts w:ascii="Tw Cen MT" w:hAnsi="Tw Cen MT"/>
                <w:i/>
                <w:sz w:val="20"/>
                <w:szCs w:val="20"/>
              </w:rPr>
              <w:t>Helpdocs_</w:t>
            </w:r>
            <w:proofErr w:type="spellStart"/>
            <w:r w:rsidRPr="00532363">
              <w:rPr>
                <w:rFonts w:ascii="Tw Cen MT" w:hAnsi="Tw Cen MT"/>
                <w:i/>
                <w:sz w:val="20"/>
                <w:szCs w:val="20"/>
              </w:rPr>
              <w:t>Assmts</w:t>
            </w:r>
            <w:proofErr w:type="spellEnd"/>
            <w:r w:rsidRPr="00532363">
              <w:rPr>
                <w:rFonts w:ascii="Tw Cen MT" w:hAnsi="Tw Cen MT"/>
                <w:i/>
                <w:sz w:val="20"/>
                <w:szCs w:val="20"/>
              </w:rPr>
              <w:t>._</w:t>
            </w:r>
            <w:proofErr w:type="spellStart"/>
            <w:r w:rsidRPr="00532363">
              <w:rPr>
                <w:rFonts w:ascii="Tw Cen MT" w:hAnsi="Tw Cen MT"/>
                <w:i/>
                <w:sz w:val="20"/>
                <w:szCs w:val="20"/>
              </w:rPr>
              <w:t>Explr.Tools</w:t>
            </w:r>
            <w:proofErr w:type="spellEnd"/>
          </w:p>
          <w:p w:rsidR="002571A3" w:rsidRPr="00532363" w:rsidRDefault="00532363" w:rsidP="00532363">
            <w:pPr>
              <w:pStyle w:val="ListParagraph"/>
              <w:numPr>
                <w:ilvl w:val="0"/>
                <w:numId w:val="2"/>
              </w:numPr>
              <w:rPr>
                <w:rFonts w:ascii="Tw Cen MT" w:hAnsi="Tw Cen MT"/>
                <w:i/>
                <w:sz w:val="20"/>
                <w:szCs w:val="20"/>
              </w:rPr>
            </w:pPr>
            <w:r>
              <w:rPr>
                <w:rFonts w:ascii="Tw Cen MT" w:hAnsi="Tw Cen MT"/>
                <w:i/>
                <w:sz w:val="20"/>
                <w:szCs w:val="20"/>
              </w:rPr>
              <w:t>Site Log-ins</w:t>
            </w:r>
          </w:p>
        </w:tc>
        <w:tc>
          <w:tcPr>
            <w:tcW w:w="4489" w:type="dxa"/>
          </w:tcPr>
          <w:p w:rsidR="00C12543" w:rsidRPr="00177C7C" w:rsidRDefault="00C12543" w:rsidP="00C12543">
            <w:pPr>
              <w:pStyle w:val="ListParagraph"/>
              <w:numPr>
                <w:ilvl w:val="0"/>
                <w:numId w:val="2"/>
              </w:numPr>
              <w:rPr>
                <w:rFonts w:ascii="Tw Cen MT" w:hAnsi="Tw Cen MT"/>
                <w:b/>
                <w:sz w:val="24"/>
                <w:u w:val="single"/>
              </w:rPr>
            </w:pPr>
            <w:r w:rsidRPr="00177C7C">
              <w:rPr>
                <w:rFonts w:ascii="Tw Cen MT" w:hAnsi="Tw Cen MT"/>
                <w:b/>
                <w:sz w:val="24"/>
              </w:rPr>
              <w:t>Copies of hand outs:</w:t>
            </w:r>
            <w:r w:rsidRPr="00177C7C">
              <w:rPr>
                <w:rFonts w:ascii="Tw Cen MT" w:hAnsi="Tw Cen MT"/>
                <w:i/>
                <w:sz w:val="24"/>
              </w:rPr>
              <w:t xml:space="preserve"> </w:t>
            </w:r>
          </w:p>
          <w:p w:rsidR="007560C9" w:rsidRDefault="0011551B" w:rsidP="00C12543">
            <w:pPr>
              <w:rPr>
                <w:rFonts w:ascii="Tw Cen MT" w:hAnsi="Tw Cen MT"/>
                <w:i/>
                <w:sz w:val="20"/>
              </w:rPr>
            </w:pPr>
            <w:r w:rsidRPr="0011551B">
              <w:rPr>
                <w:rFonts w:ascii="Tw Cen MT" w:hAnsi="Tw Cen MT"/>
                <w:i/>
                <w:sz w:val="20"/>
              </w:rPr>
              <w:t xml:space="preserve">Course </w:t>
            </w:r>
            <w:proofErr w:type="spellStart"/>
            <w:r w:rsidRPr="0011551B">
              <w:rPr>
                <w:rFonts w:ascii="Tw Cen MT" w:hAnsi="Tw Cen MT"/>
                <w:i/>
                <w:sz w:val="20"/>
              </w:rPr>
              <w:t>Intro._Student</w:t>
            </w:r>
            <w:proofErr w:type="spellEnd"/>
          </w:p>
          <w:p w:rsidR="0011551B" w:rsidRDefault="0011551B" w:rsidP="00C12543">
            <w:pPr>
              <w:rPr>
                <w:rFonts w:ascii="Tw Cen MT" w:hAnsi="Tw Cen MT"/>
                <w:i/>
                <w:sz w:val="20"/>
              </w:rPr>
            </w:pPr>
            <w:r w:rsidRPr="0011551B">
              <w:rPr>
                <w:rFonts w:ascii="Tw Cen MT" w:hAnsi="Tw Cen MT"/>
                <w:i/>
                <w:sz w:val="20"/>
              </w:rPr>
              <w:t>Senior Seminar Syllabus</w:t>
            </w:r>
          </w:p>
          <w:p w:rsidR="0011551B" w:rsidRPr="00D62F32" w:rsidRDefault="0011551B" w:rsidP="00C12543">
            <w:pPr>
              <w:rPr>
                <w:rFonts w:ascii="Tw Cen MT" w:hAnsi="Tw Cen MT"/>
                <w:i/>
                <w:sz w:val="20"/>
              </w:rPr>
            </w:pPr>
            <w:r w:rsidRPr="0011551B">
              <w:rPr>
                <w:rFonts w:ascii="Tw Cen MT" w:hAnsi="Tw Cen MT"/>
                <w:i/>
                <w:sz w:val="20"/>
              </w:rPr>
              <w:t>Senior Seminar 21st Century Skills Rubric</w:t>
            </w:r>
          </w:p>
        </w:tc>
        <w:tc>
          <w:tcPr>
            <w:tcW w:w="4081" w:type="dxa"/>
          </w:tcPr>
          <w:p w:rsidR="00C12543" w:rsidRPr="00A26AA5" w:rsidRDefault="00C12543" w:rsidP="001809FF">
            <w:pPr>
              <w:pStyle w:val="ListParagraph"/>
              <w:numPr>
                <w:ilvl w:val="0"/>
                <w:numId w:val="2"/>
              </w:numPr>
              <w:rPr>
                <w:rFonts w:ascii="Tw Cen MT" w:hAnsi="Tw Cen MT"/>
                <w:b/>
                <w:sz w:val="24"/>
                <w:u w:val="single"/>
              </w:rPr>
            </w:pPr>
            <w:r>
              <w:rPr>
                <w:rFonts w:ascii="Tw Cen MT" w:hAnsi="Tw Cen MT"/>
                <w:b/>
                <w:sz w:val="24"/>
              </w:rPr>
              <w:t>Computer/Internet Access</w:t>
            </w:r>
          </w:p>
          <w:p w:rsidR="00C12543" w:rsidRPr="00C12543" w:rsidRDefault="00C12543" w:rsidP="00C12543">
            <w:pPr>
              <w:rPr>
                <w:rFonts w:ascii="Tw Cen MT" w:hAnsi="Tw Cen MT"/>
                <w:b/>
                <w:sz w:val="24"/>
                <w:u w:val="single"/>
              </w:rPr>
            </w:pPr>
          </w:p>
        </w:tc>
      </w:tr>
      <w:tr w:rsidR="00FF4AF9" w:rsidTr="00AA042D">
        <w:tc>
          <w:tcPr>
            <w:tcW w:w="1838" w:type="dxa"/>
          </w:tcPr>
          <w:p w:rsidR="001809FF" w:rsidRPr="001809FF" w:rsidRDefault="001809FF" w:rsidP="0007276D">
            <w:pPr>
              <w:rPr>
                <w:rFonts w:ascii="Tw Cen MT" w:hAnsi="Tw Cen MT"/>
                <w:b/>
                <w:sz w:val="24"/>
              </w:rPr>
            </w:pPr>
            <w:r>
              <w:rPr>
                <w:rFonts w:ascii="Tw Cen MT" w:hAnsi="Tw Cen MT"/>
                <w:b/>
                <w:sz w:val="24"/>
              </w:rPr>
              <w:t>Implem</w:t>
            </w:r>
            <w:r w:rsidR="00F262B5">
              <w:rPr>
                <w:rFonts w:ascii="Tw Cen MT" w:hAnsi="Tw Cen MT"/>
                <w:b/>
                <w:sz w:val="24"/>
              </w:rPr>
              <w:t>e</w:t>
            </w:r>
            <w:r>
              <w:rPr>
                <w:rFonts w:ascii="Tw Cen MT" w:hAnsi="Tw Cen MT"/>
                <w:b/>
                <w:sz w:val="24"/>
              </w:rPr>
              <w:t>ntation:</w:t>
            </w:r>
          </w:p>
        </w:tc>
        <w:tc>
          <w:tcPr>
            <w:tcW w:w="12778" w:type="dxa"/>
            <w:gridSpan w:val="3"/>
          </w:tcPr>
          <w:p w:rsidR="003D7D04" w:rsidRPr="00177C7C" w:rsidRDefault="00F262B5" w:rsidP="002571A3">
            <w:pPr>
              <w:pStyle w:val="ListParagraph"/>
              <w:numPr>
                <w:ilvl w:val="0"/>
                <w:numId w:val="7"/>
              </w:numPr>
              <w:rPr>
                <w:rFonts w:ascii="Tw Cen MT" w:hAnsi="Tw Cen MT"/>
                <w:b/>
                <w:sz w:val="24"/>
                <w:szCs w:val="24"/>
                <w:u w:val="single"/>
              </w:rPr>
            </w:pPr>
            <w:r>
              <w:rPr>
                <w:rFonts w:ascii="Tw Cen MT" w:hAnsi="Tw Cen MT"/>
                <w:sz w:val="24"/>
                <w:szCs w:val="24"/>
              </w:rPr>
              <w:t xml:space="preserve">Using the document </w:t>
            </w:r>
            <w:r w:rsidR="00E85D33">
              <w:rPr>
                <w:rFonts w:ascii="Tw Cen MT" w:hAnsi="Tw Cen MT"/>
                <w:b/>
                <w:i/>
                <w:sz w:val="24"/>
                <w:szCs w:val="24"/>
              </w:rPr>
              <w:t xml:space="preserve">Senior Seminar Syllabus, </w:t>
            </w:r>
            <w:r>
              <w:rPr>
                <w:rFonts w:ascii="Tw Cen MT" w:hAnsi="Tw Cen MT"/>
                <w:b/>
                <w:i/>
                <w:sz w:val="24"/>
                <w:szCs w:val="24"/>
                <w:u w:val="single"/>
              </w:rPr>
              <w:t>review</w:t>
            </w:r>
            <w:r>
              <w:rPr>
                <w:rFonts w:ascii="Tw Cen MT" w:hAnsi="Tw Cen MT"/>
                <w:sz w:val="24"/>
                <w:szCs w:val="24"/>
              </w:rPr>
              <w:t xml:space="preserve"> the overall intent and descriptions of </w:t>
            </w:r>
            <w:r w:rsidR="00E85D33">
              <w:rPr>
                <w:rFonts w:ascii="Tw Cen MT" w:hAnsi="Tw Cen MT"/>
                <w:sz w:val="24"/>
                <w:szCs w:val="24"/>
              </w:rPr>
              <w:t xml:space="preserve">the course and introductory parts within Senior Seminar </w:t>
            </w:r>
            <w:r>
              <w:rPr>
                <w:rFonts w:ascii="Tw Cen MT" w:hAnsi="Tw Cen MT"/>
                <w:sz w:val="24"/>
                <w:szCs w:val="24"/>
              </w:rPr>
              <w:t xml:space="preserve">with the students. </w:t>
            </w:r>
          </w:p>
          <w:p w:rsidR="00815005" w:rsidRPr="00E85D33" w:rsidRDefault="00E7313F" w:rsidP="002571A3">
            <w:pPr>
              <w:pStyle w:val="Default"/>
              <w:numPr>
                <w:ilvl w:val="0"/>
                <w:numId w:val="7"/>
              </w:numPr>
              <w:rPr>
                <w:color w:val="auto"/>
              </w:rPr>
            </w:pPr>
            <w:r w:rsidRPr="00177C7C">
              <w:rPr>
                <w:rFonts w:cs="Arial"/>
                <w:b/>
                <w:color w:val="auto"/>
                <w:u w:val="single"/>
              </w:rPr>
              <w:t>Discuss</w:t>
            </w:r>
            <w:r w:rsidRPr="00177C7C">
              <w:rPr>
                <w:rFonts w:cs="Arial"/>
                <w:b/>
                <w:color w:val="auto"/>
              </w:rPr>
              <w:t xml:space="preserve"> </w:t>
            </w:r>
            <w:r w:rsidR="00F262B5">
              <w:rPr>
                <w:rFonts w:cs="Arial"/>
                <w:color w:val="auto"/>
              </w:rPr>
              <w:t xml:space="preserve">the </w:t>
            </w:r>
            <w:r w:rsidR="00E85D33">
              <w:rPr>
                <w:rFonts w:cs="Arial"/>
                <w:color w:val="auto"/>
              </w:rPr>
              <w:t xml:space="preserve">different units associated within the Senior Seminar course based on the outline provided in the syllabus.  </w:t>
            </w:r>
          </w:p>
          <w:p w:rsidR="00E85D33" w:rsidRPr="00F262B5" w:rsidRDefault="00E85D33" w:rsidP="002571A3">
            <w:pPr>
              <w:pStyle w:val="Default"/>
              <w:numPr>
                <w:ilvl w:val="0"/>
                <w:numId w:val="7"/>
              </w:numPr>
              <w:rPr>
                <w:color w:val="auto"/>
              </w:rPr>
            </w:pPr>
            <w:proofErr w:type="gramStart"/>
            <w:r>
              <w:rPr>
                <w:rFonts w:cs="Arial"/>
                <w:b/>
                <w:color w:val="auto"/>
                <w:u w:val="single"/>
              </w:rPr>
              <w:t xml:space="preserve">Provide </w:t>
            </w:r>
            <w:r>
              <w:rPr>
                <w:rFonts w:cs="Arial"/>
                <w:color w:val="auto"/>
              </w:rPr>
              <w:t xml:space="preserve"> students</w:t>
            </w:r>
            <w:proofErr w:type="gramEnd"/>
            <w:r>
              <w:rPr>
                <w:rFonts w:cs="Arial"/>
                <w:color w:val="auto"/>
              </w:rPr>
              <w:t xml:space="preserve"> with the grading criteria for the course and the rubric for </w:t>
            </w:r>
            <w:r>
              <w:rPr>
                <w:rFonts w:cs="Arial"/>
                <w:b/>
                <w:color w:val="auto"/>
              </w:rPr>
              <w:t>Senior Seminar 21</w:t>
            </w:r>
            <w:r w:rsidRPr="00E85D33">
              <w:rPr>
                <w:rFonts w:cs="Arial"/>
                <w:b/>
                <w:color w:val="auto"/>
                <w:vertAlign w:val="superscript"/>
              </w:rPr>
              <w:t>st</w:t>
            </w:r>
            <w:r>
              <w:rPr>
                <w:rFonts w:cs="Arial"/>
                <w:b/>
                <w:color w:val="auto"/>
              </w:rPr>
              <w:t xml:space="preserve"> Century Skills.</w:t>
            </w:r>
          </w:p>
          <w:p w:rsidR="00E85D33" w:rsidRPr="00E85D33" w:rsidRDefault="00F262B5" w:rsidP="002571A3">
            <w:pPr>
              <w:pStyle w:val="Default"/>
              <w:numPr>
                <w:ilvl w:val="0"/>
                <w:numId w:val="7"/>
              </w:numPr>
              <w:rPr>
                <w:color w:val="auto"/>
              </w:rPr>
            </w:pPr>
            <w:r>
              <w:rPr>
                <w:rFonts w:cs="Arial"/>
                <w:color w:val="auto"/>
              </w:rPr>
              <w:t>In</w:t>
            </w:r>
            <w:r w:rsidR="00E85D33">
              <w:rPr>
                <w:rFonts w:cs="Arial"/>
                <w:color w:val="auto"/>
              </w:rPr>
              <w:t xml:space="preserve">troduce the class website and Moodle interface where they will be uploading their formative work.  </w:t>
            </w:r>
          </w:p>
          <w:p w:rsidR="00F262B5" w:rsidRPr="00E85D33" w:rsidRDefault="00E85D33" w:rsidP="00E85D33">
            <w:pPr>
              <w:pStyle w:val="Default"/>
              <w:numPr>
                <w:ilvl w:val="0"/>
                <w:numId w:val="7"/>
              </w:numPr>
              <w:rPr>
                <w:color w:val="auto"/>
              </w:rPr>
            </w:pPr>
            <w:r>
              <w:rPr>
                <w:rFonts w:cs="Arial"/>
                <w:color w:val="auto"/>
              </w:rPr>
              <w:t>Stress the importance of</w:t>
            </w:r>
            <w:r w:rsidR="00F262B5">
              <w:rPr>
                <w:rFonts w:cs="Arial"/>
                <w:color w:val="auto"/>
              </w:rPr>
              <w:t xml:space="preserve"> </w:t>
            </w:r>
            <w:r>
              <w:rPr>
                <w:rFonts w:cs="Arial"/>
                <w:color w:val="auto"/>
              </w:rPr>
              <w:t>receiving</w:t>
            </w:r>
            <w:r w:rsidR="00F262B5">
              <w:rPr>
                <w:rFonts w:cs="Arial"/>
                <w:color w:val="auto"/>
              </w:rPr>
              <w:t xml:space="preserve"> credit for </w:t>
            </w:r>
            <w:r>
              <w:rPr>
                <w:rFonts w:cs="Arial"/>
                <w:color w:val="auto"/>
              </w:rPr>
              <w:t>the course by having</w:t>
            </w:r>
            <w:r w:rsidR="00F262B5" w:rsidRPr="00E85D33">
              <w:rPr>
                <w:rFonts w:cs="Arial"/>
                <w:color w:val="auto"/>
              </w:rPr>
              <w:t xml:space="preserve"> all </w:t>
            </w:r>
            <w:r w:rsidR="004C7676" w:rsidRPr="00E85D33">
              <w:rPr>
                <w:rFonts w:cs="Arial"/>
                <w:color w:val="auto"/>
              </w:rPr>
              <w:t>assignments</w:t>
            </w:r>
            <w:r w:rsidR="00F262B5" w:rsidRPr="00E85D33">
              <w:rPr>
                <w:rFonts w:cs="Arial"/>
                <w:color w:val="auto"/>
              </w:rPr>
              <w:t xml:space="preserve"> completed </w:t>
            </w:r>
            <w:r w:rsidR="00A857D4" w:rsidRPr="00E85D33">
              <w:rPr>
                <w:rFonts w:cs="Arial"/>
                <w:color w:val="auto"/>
              </w:rPr>
              <w:t>&amp; uploaded to Moodle.</w:t>
            </w:r>
          </w:p>
          <w:p w:rsidR="0032261A" w:rsidRPr="00A857D4" w:rsidRDefault="0032261A" w:rsidP="002571A3">
            <w:pPr>
              <w:pStyle w:val="Default"/>
              <w:numPr>
                <w:ilvl w:val="0"/>
                <w:numId w:val="7"/>
              </w:numPr>
              <w:rPr>
                <w:color w:val="auto"/>
              </w:rPr>
            </w:pPr>
            <w:r>
              <w:rPr>
                <w:rFonts w:cs="Arial"/>
                <w:color w:val="auto"/>
              </w:rPr>
              <w:t xml:space="preserve">It is </w:t>
            </w:r>
            <w:r>
              <w:rPr>
                <w:rFonts w:cs="Arial"/>
                <w:b/>
                <w:color w:val="auto"/>
                <w:u w:val="single"/>
              </w:rPr>
              <w:t>VERY IMPORTANT</w:t>
            </w:r>
            <w:r>
              <w:rPr>
                <w:rFonts w:cs="Arial"/>
                <w:color w:val="auto"/>
              </w:rPr>
              <w:t xml:space="preserve"> that students save all </w:t>
            </w:r>
            <w:r w:rsidR="004C7676">
              <w:rPr>
                <w:rFonts w:cs="Arial"/>
                <w:color w:val="auto"/>
              </w:rPr>
              <w:t>assignments</w:t>
            </w:r>
            <w:r>
              <w:rPr>
                <w:rFonts w:cs="Arial"/>
                <w:color w:val="auto"/>
              </w:rPr>
              <w:t xml:space="preserve"> in a location where they have access to them &amp; they have organized their document</w:t>
            </w:r>
            <w:r w:rsidR="004C7676">
              <w:rPr>
                <w:rFonts w:cs="Arial"/>
                <w:color w:val="auto"/>
              </w:rPr>
              <w:t>s to correspond to each of the</w:t>
            </w:r>
            <w:r>
              <w:rPr>
                <w:rFonts w:cs="Arial"/>
                <w:color w:val="auto"/>
              </w:rPr>
              <w:t xml:space="preserve"> </w:t>
            </w:r>
            <w:r w:rsidR="004C7676">
              <w:rPr>
                <w:rFonts w:cs="Arial"/>
                <w:color w:val="auto"/>
              </w:rPr>
              <w:t>assignment</w:t>
            </w:r>
            <w:r>
              <w:rPr>
                <w:rFonts w:cs="Arial"/>
                <w:color w:val="auto"/>
              </w:rPr>
              <w:t xml:space="preserve">s.  </w:t>
            </w:r>
            <w:r>
              <w:rPr>
                <w:rFonts w:cs="Arial"/>
                <w:color w:val="auto"/>
                <w:sz w:val="20"/>
              </w:rPr>
              <w:t>(</w:t>
            </w:r>
            <w:r>
              <w:rPr>
                <w:rFonts w:cs="Arial"/>
                <w:i/>
                <w:color w:val="auto"/>
                <w:sz w:val="20"/>
              </w:rPr>
              <w:t>*This will be crucial if a student forgets to upload a</w:t>
            </w:r>
            <w:r w:rsidR="00FF4AF9">
              <w:rPr>
                <w:rFonts w:cs="Arial"/>
                <w:i/>
                <w:color w:val="auto"/>
                <w:sz w:val="20"/>
              </w:rPr>
              <w:t>n assignment</w:t>
            </w:r>
            <w:r>
              <w:rPr>
                <w:rFonts w:cs="Arial"/>
                <w:i/>
                <w:color w:val="auto"/>
                <w:sz w:val="20"/>
              </w:rPr>
              <w:t xml:space="preserve"> or needs to re-upload </w:t>
            </w:r>
            <w:r w:rsidR="00FF4AF9">
              <w:rPr>
                <w:rFonts w:cs="Arial"/>
                <w:i/>
                <w:color w:val="auto"/>
                <w:sz w:val="20"/>
              </w:rPr>
              <w:t>an assignment</w:t>
            </w:r>
            <w:r>
              <w:rPr>
                <w:rFonts w:cs="Arial"/>
                <w:i/>
                <w:color w:val="auto"/>
                <w:sz w:val="20"/>
              </w:rPr>
              <w:t xml:space="preserve"> for any reason.</w:t>
            </w:r>
            <w:r>
              <w:rPr>
                <w:rFonts w:cs="Arial"/>
                <w:color w:val="auto"/>
                <w:sz w:val="20"/>
              </w:rPr>
              <w:t>)</w:t>
            </w:r>
          </w:p>
          <w:p w:rsidR="0032261A" w:rsidRDefault="0032261A" w:rsidP="002571A3">
            <w:pPr>
              <w:pStyle w:val="Default"/>
              <w:numPr>
                <w:ilvl w:val="0"/>
                <w:numId w:val="7"/>
              </w:numPr>
              <w:rPr>
                <w:color w:val="auto"/>
              </w:rPr>
            </w:pPr>
            <w:r>
              <w:rPr>
                <w:b/>
                <w:color w:val="auto"/>
                <w:u w:val="single"/>
              </w:rPr>
              <w:t>Suggest</w:t>
            </w:r>
            <w:r>
              <w:rPr>
                <w:color w:val="auto"/>
              </w:rPr>
              <w:t xml:space="preserve"> to students that it may be bene</w:t>
            </w:r>
            <w:r w:rsidR="004C7676">
              <w:rPr>
                <w:color w:val="auto"/>
              </w:rPr>
              <w:t>ficial for them to upload the specific assignment</w:t>
            </w:r>
            <w:r>
              <w:rPr>
                <w:color w:val="auto"/>
              </w:rPr>
              <w:t xml:space="preserve"> </w:t>
            </w:r>
            <w:r w:rsidR="004C7676">
              <w:rPr>
                <w:color w:val="auto"/>
              </w:rPr>
              <w:t>immediately after completion.</w:t>
            </w:r>
            <w:r>
              <w:rPr>
                <w:color w:val="auto"/>
              </w:rPr>
              <w:t xml:space="preserve">  If they do it as they go, they will be less likely to forget to upload a piece at the end. </w:t>
            </w:r>
          </w:p>
          <w:p w:rsidR="004B5C74" w:rsidRDefault="004B5C74" w:rsidP="004B5C74">
            <w:pPr>
              <w:pStyle w:val="Default"/>
              <w:rPr>
                <w:color w:val="auto"/>
              </w:rPr>
            </w:pPr>
          </w:p>
          <w:p w:rsidR="004B5C74" w:rsidRDefault="004B5C74" w:rsidP="004B5C74">
            <w:pPr>
              <w:pStyle w:val="Default"/>
              <w:rPr>
                <w:b/>
                <w:color w:val="auto"/>
                <w:u w:val="single"/>
              </w:rPr>
            </w:pPr>
            <w:r>
              <w:rPr>
                <w:b/>
                <w:color w:val="auto"/>
                <w:u w:val="single"/>
              </w:rPr>
              <w:t>Course Introduction Review:</w:t>
            </w:r>
          </w:p>
          <w:p w:rsidR="00C11C95" w:rsidRPr="00C11C95" w:rsidRDefault="004B5C74" w:rsidP="00C11C95">
            <w:pPr>
              <w:pStyle w:val="ListParagraph"/>
              <w:numPr>
                <w:ilvl w:val="0"/>
                <w:numId w:val="11"/>
              </w:numPr>
              <w:rPr>
                <w:rFonts w:ascii="Tw Cen MT" w:hAnsi="Tw Cen MT"/>
                <w:i/>
                <w:sz w:val="20"/>
              </w:rPr>
            </w:pPr>
            <w:r w:rsidRPr="004B5C74">
              <w:rPr>
                <w:rFonts w:ascii="Tw Cen MT" w:hAnsi="Tw Cen MT"/>
                <w:b/>
                <w:u w:val="single"/>
              </w:rPr>
              <w:t>Review</w:t>
            </w:r>
            <w:r w:rsidRPr="004B5C74">
              <w:rPr>
                <w:rFonts w:ascii="Tw Cen MT" w:hAnsi="Tw Cen MT"/>
              </w:rPr>
              <w:t xml:space="preserve"> the overview for the course introduction </w:t>
            </w:r>
            <w:r w:rsidRPr="004B5C74">
              <w:rPr>
                <w:rFonts w:ascii="Tw Cen MT" w:hAnsi="Tw Cen MT"/>
                <w:i/>
                <w:sz w:val="18"/>
              </w:rPr>
              <w:t>(</w:t>
            </w:r>
            <w:r w:rsidRPr="004B5C74">
              <w:rPr>
                <w:rFonts w:ascii="Tw Cen MT" w:hAnsi="Tw Cen MT"/>
                <w:i/>
                <w:sz w:val="20"/>
              </w:rPr>
              <w:t xml:space="preserve">Course </w:t>
            </w:r>
            <w:proofErr w:type="spellStart"/>
            <w:r w:rsidRPr="004B5C74">
              <w:rPr>
                <w:rFonts w:ascii="Tw Cen MT" w:hAnsi="Tw Cen MT"/>
                <w:i/>
                <w:sz w:val="20"/>
              </w:rPr>
              <w:t>Intro._Student</w:t>
            </w:r>
            <w:proofErr w:type="spellEnd"/>
            <w:r w:rsidR="00C11C95">
              <w:rPr>
                <w:rFonts w:ascii="Tw Cen MT" w:hAnsi="Tw Cen MT"/>
                <w:i/>
                <w:sz w:val="20"/>
              </w:rPr>
              <w:t>).</w:t>
            </w:r>
          </w:p>
          <w:p w:rsidR="00C11C95" w:rsidRDefault="00C11C95" w:rsidP="00C11C95">
            <w:pPr>
              <w:pStyle w:val="ListParagraph"/>
              <w:numPr>
                <w:ilvl w:val="0"/>
                <w:numId w:val="11"/>
              </w:numPr>
              <w:rPr>
                <w:rFonts w:ascii="Tw Cen MT" w:hAnsi="Tw Cen MT"/>
                <w:sz w:val="24"/>
              </w:rPr>
            </w:pPr>
            <w:r w:rsidRPr="00C11C95">
              <w:rPr>
                <w:rFonts w:ascii="Tw Cen MT" w:hAnsi="Tw Cen MT"/>
                <w:b/>
                <w:sz w:val="24"/>
                <w:u w:val="single"/>
              </w:rPr>
              <w:t>Watch</w:t>
            </w:r>
            <w:r w:rsidRPr="00C11C95">
              <w:rPr>
                <w:rFonts w:ascii="Tw Cen MT" w:hAnsi="Tw Cen MT"/>
                <w:sz w:val="24"/>
              </w:rPr>
              <w:t xml:space="preserve"> the Daniel Pink Drive video with students.  </w:t>
            </w:r>
          </w:p>
          <w:p w:rsidR="00C11C95" w:rsidRPr="00C11C95" w:rsidRDefault="00C11C95" w:rsidP="00C11C95">
            <w:pPr>
              <w:pStyle w:val="ListParagraph"/>
              <w:numPr>
                <w:ilvl w:val="0"/>
                <w:numId w:val="11"/>
              </w:numPr>
              <w:rPr>
                <w:rFonts w:ascii="Tw Cen MT" w:hAnsi="Tw Cen MT"/>
                <w:b/>
                <w:sz w:val="24"/>
              </w:rPr>
            </w:pPr>
            <w:r w:rsidRPr="00C11C95">
              <w:rPr>
                <w:rFonts w:ascii="Tw Cen MT" w:hAnsi="Tw Cen MT"/>
                <w:sz w:val="24"/>
              </w:rPr>
              <w:t>Scaffold a discussion based on the video, focusing on the message in the video and how it relates to their future. (</w:t>
            </w:r>
            <w:r w:rsidRPr="00C11C95">
              <w:rPr>
                <w:rFonts w:ascii="Tw Cen MT" w:hAnsi="Tw Cen MT"/>
                <w:b/>
                <w:sz w:val="24"/>
              </w:rPr>
              <w:t>Think-pair-share)</w:t>
            </w:r>
          </w:p>
          <w:p w:rsidR="00C11C95" w:rsidRDefault="00C11C95" w:rsidP="00C11C95">
            <w:pPr>
              <w:pStyle w:val="ListParagraph"/>
              <w:numPr>
                <w:ilvl w:val="0"/>
                <w:numId w:val="11"/>
              </w:numPr>
              <w:rPr>
                <w:rFonts w:ascii="Tw Cen MT" w:hAnsi="Tw Cen MT"/>
                <w:sz w:val="24"/>
              </w:rPr>
            </w:pPr>
            <w:r w:rsidRPr="00C11C95">
              <w:rPr>
                <w:rFonts w:ascii="Tw Cen MT" w:hAnsi="Tw Cen MT"/>
                <w:b/>
                <w:sz w:val="24"/>
                <w:u w:val="single"/>
              </w:rPr>
              <w:t>Watch</w:t>
            </w:r>
            <w:r w:rsidRPr="00C11C95">
              <w:rPr>
                <w:rFonts w:ascii="Tw Cen MT" w:hAnsi="Tw Cen MT"/>
                <w:sz w:val="24"/>
              </w:rPr>
              <w:t xml:space="preserve"> the </w:t>
            </w:r>
            <w:proofErr w:type="spellStart"/>
            <w:r w:rsidRPr="00C11C95">
              <w:rPr>
                <w:rFonts w:ascii="Tw Cen MT" w:hAnsi="Tw Cen MT"/>
                <w:sz w:val="24"/>
              </w:rPr>
              <w:t>Roadtrip</w:t>
            </w:r>
            <w:proofErr w:type="spellEnd"/>
            <w:r w:rsidRPr="00C11C95">
              <w:rPr>
                <w:rFonts w:ascii="Tw Cen MT" w:hAnsi="Tw Cen MT"/>
                <w:sz w:val="24"/>
              </w:rPr>
              <w:t xml:space="preserve"> Nation video with students.  </w:t>
            </w:r>
          </w:p>
          <w:p w:rsidR="00C11C95" w:rsidRPr="00C11C95" w:rsidRDefault="00C11C95" w:rsidP="00C11C95">
            <w:pPr>
              <w:pStyle w:val="ListParagraph"/>
              <w:numPr>
                <w:ilvl w:val="0"/>
                <w:numId w:val="11"/>
              </w:numPr>
              <w:rPr>
                <w:rFonts w:ascii="Tw Cen MT" w:hAnsi="Tw Cen MT"/>
                <w:b/>
                <w:sz w:val="24"/>
              </w:rPr>
            </w:pPr>
            <w:r w:rsidRPr="00C11C95">
              <w:rPr>
                <w:rFonts w:ascii="Tw Cen MT" w:hAnsi="Tw Cen MT"/>
                <w:sz w:val="24"/>
              </w:rPr>
              <w:t xml:space="preserve">Scaffold a discussion based on the video, focusing on how each student has a different path in life.  </w:t>
            </w:r>
            <w:r w:rsidRPr="00C11C95">
              <w:rPr>
                <w:rFonts w:ascii="Tw Cen MT" w:hAnsi="Tw Cen MT"/>
                <w:b/>
                <w:sz w:val="24"/>
              </w:rPr>
              <w:t>(Think-pair-share)</w:t>
            </w:r>
          </w:p>
          <w:p w:rsidR="00C11C95" w:rsidRPr="00C11C95" w:rsidRDefault="00C11C95" w:rsidP="00C11C95">
            <w:pPr>
              <w:pStyle w:val="ListParagraph"/>
              <w:numPr>
                <w:ilvl w:val="0"/>
                <w:numId w:val="11"/>
              </w:numPr>
              <w:rPr>
                <w:rFonts w:ascii="Tw Cen MT" w:hAnsi="Tw Cen MT"/>
                <w:b/>
                <w:i/>
                <w:sz w:val="24"/>
              </w:rPr>
            </w:pPr>
            <w:r w:rsidRPr="00C11C95">
              <w:rPr>
                <w:rFonts w:ascii="Tw Cen MT" w:hAnsi="Tw Cen MT"/>
                <w:sz w:val="24"/>
              </w:rPr>
              <w:t>Students</w:t>
            </w:r>
            <w:r>
              <w:rPr>
                <w:rFonts w:ascii="Tw Cen MT" w:hAnsi="Tw Cen MT"/>
                <w:sz w:val="24"/>
              </w:rPr>
              <w:t xml:space="preserve"> will complete a </w:t>
            </w:r>
            <w:r>
              <w:rPr>
                <w:rFonts w:ascii="Tw Cen MT" w:hAnsi="Tw Cen MT"/>
                <w:b/>
                <w:sz w:val="24"/>
              </w:rPr>
              <w:t xml:space="preserve">written reflection activity </w:t>
            </w:r>
            <w:r>
              <w:rPr>
                <w:rFonts w:ascii="Tw Cen MT" w:hAnsi="Tw Cen MT"/>
                <w:sz w:val="24"/>
              </w:rPr>
              <w:t xml:space="preserve">on </w:t>
            </w:r>
            <w:r w:rsidRPr="00C11C95">
              <w:rPr>
                <w:rFonts w:ascii="Tw Cen MT" w:hAnsi="Tw Cen MT"/>
                <w:sz w:val="24"/>
              </w:rPr>
              <w:t xml:space="preserve">the prompt </w:t>
            </w:r>
            <w:proofErr w:type="gramStart"/>
            <w:r w:rsidRPr="00C11C95">
              <w:rPr>
                <w:rFonts w:ascii="Tw Cen MT" w:hAnsi="Tw Cen MT"/>
                <w:b/>
                <w:i/>
                <w:sz w:val="24"/>
              </w:rPr>
              <w:t>What</w:t>
            </w:r>
            <w:proofErr w:type="gramEnd"/>
            <w:r w:rsidRPr="00C11C95">
              <w:rPr>
                <w:rFonts w:ascii="Tw Cen MT" w:hAnsi="Tw Cen MT"/>
                <w:b/>
                <w:i/>
                <w:sz w:val="24"/>
              </w:rPr>
              <w:t xml:space="preserve"> does your future look like? And what is the path that you will take to get there? </w:t>
            </w:r>
          </w:p>
          <w:p w:rsidR="00C11C95" w:rsidRPr="00C11C95" w:rsidRDefault="00C11C95" w:rsidP="00C11C95">
            <w:pPr>
              <w:pStyle w:val="ListParagraph"/>
              <w:numPr>
                <w:ilvl w:val="0"/>
                <w:numId w:val="11"/>
              </w:numPr>
              <w:rPr>
                <w:rFonts w:ascii="Tw Cen MT" w:hAnsi="Tw Cen MT"/>
                <w:sz w:val="24"/>
              </w:rPr>
            </w:pPr>
            <w:r w:rsidRPr="00C11C95">
              <w:rPr>
                <w:rFonts w:ascii="Tw Cen MT" w:hAnsi="Tw Cen MT"/>
                <w:sz w:val="24"/>
              </w:rPr>
              <w:t xml:space="preserve">Share out in small groups. </w:t>
            </w:r>
          </w:p>
          <w:p w:rsidR="00C11C95" w:rsidRDefault="00C11C95" w:rsidP="00C11C95">
            <w:pPr>
              <w:pStyle w:val="ListParagraph"/>
              <w:numPr>
                <w:ilvl w:val="0"/>
                <w:numId w:val="11"/>
              </w:numPr>
              <w:rPr>
                <w:rFonts w:ascii="Tw Cen MT" w:hAnsi="Tw Cen MT"/>
                <w:sz w:val="24"/>
              </w:rPr>
            </w:pPr>
            <w:r w:rsidRPr="00C11C95">
              <w:rPr>
                <w:rFonts w:ascii="Tw Cen MT" w:hAnsi="Tw Cen MT"/>
                <w:sz w:val="24"/>
              </w:rPr>
              <w:lastRenderedPageBreak/>
              <w:t>One student from each group shares with the class.</w:t>
            </w:r>
          </w:p>
          <w:p w:rsidR="00C11C95" w:rsidRDefault="00C11C95" w:rsidP="00C11C95">
            <w:pPr>
              <w:pStyle w:val="Default"/>
              <w:rPr>
                <w:b/>
                <w:color w:val="auto"/>
                <w:u w:val="single"/>
              </w:rPr>
            </w:pPr>
            <w:r>
              <w:rPr>
                <w:b/>
                <w:color w:val="auto"/>
                <w:u w:val="single"/>
              </w:rPr>
              <w:t xml:space="preserve">Course </w:t>
            </w:r>
            <w:r>
              <w:rPr>
                <w:b/>
                <w:color w:val="auto"/>
                <w:u w:val="single"/>
              </w:rPr>
              <w:t>Tools</w:t>
            </w:r>
            <w:r>
              <w:rPr>
                <w:b/>
                <w:color w:val="auto"/>
                <w:u w:val="single"/>
              </w:rPr>
              <w:t xml:space="preserve"> Review:</w:t>
            </w:r>
          </w:p>
          <w:p w:rsidR="00C11C95" w:rsidRDefault="00C11C95" w:rsidP="00C11C95">
            <w:pPr>
              <w:pStyle w:val="ListParagraph"/>
              <w:numPr>
                <w:ilvl w:val="0"/>
                <w:numId w:val="11"/>
              </w:numPr>
              <w:rPr>
                <w:rFonts w:ascii="Tw Cen MT" w:hAnsi="Tw Cen MT"/>
                <w:sz w:val="24"/>
              </w:rPr>
            </w:pPr>
            <w:r>
              <w:rPr>
                <w:rFonts w:ascii="Tw Cen MT" w:hAnsi="Tw Cen MT"/>
                <w:b/>
                <w:sz w:val="24"/>
                <w:u w:val="single"/>
              </w:rPr>
              <w:t>Review</w:t>
            </w:r>
            <w:r>
              <w:rPr>
                <w:rFonts w:ascii="Tw Cen MT" w:hAnsi="Tw Cen MT"/>
                <w:sz w:val="24"/>
                <w:u w:val="single"/>
              </w:rPr>
              <w:t xml:space="preserve"> </w:t>
            </w:r>
            <w:r>
              <w:rPr>
                <w:rFonts w:ascii="Tw Cen MT" w:hAnsi="Tw Cen MT"/>
                <w:sz w:val="24"/>
              </w:rPr>
              <w:t xml:space="preserve">and demonstrate using the projector, the various course tools by using the step by step handouts found in the </w:t>
            </w:r>
            <w:r w:rsidRPr="00C11C95">
              <w:rPr>
                <w:rFonts w:ascii="Tw Cen MT" w:hAnsi="Tw Cen MT"/>
                <w:b/>
                <w:sz w:val="24"/>
              </w:rPr>
              <w:t>Course Tools</w:t>
            </w:r>
            <w:r>
              <w:rPr>
                <w:rFonts w:ascii="Tw Cen MT" w:hAnsi="Tw Cen MT"/>
                <w:sz w:val="24"/>
              </w:rPr>
              <w:t xml:space="preserve"> folder. </w:t>
            </w:r>
          </w:p>
          <w:p w:rsidR="00C11C95" w:rsidRDefault="00C11C95" w:rsidP="00C11C95">
            <w:pPr>
              <w:pStyle w:val="ListParagraph"/>
              <w:numPr>
                <w:ilvl w:val="0"/>
                <w:numId w:val="11"/>
              </w:numPr>
              <w:rPr>
                <w:rFonts w:ascii="Tw Cen MT" w:hAnsi="Tw Cen MT"/>
                <w:sz w:val="24"/>
              </w:rPr>
            </w:pPr>
            <w:r>
              <w:rPr>
                <w:rFonts w:ascii="Tw Cen MT" w:hAnsi="Tw Cen MT"/>
                <w:sz w:val="24"/>
              </w:rPr>
              <w:t xml:space="preserve">It is important to be sure everyone has the same introduction to these tools even </w:t>
            </w:r>
            <w:proofErr w:type="gramStart"/>
            <w:r>
              <w:rPr>
                <w:rFonts w:ascii="Tw Cen MT" w:hAnsi="Tw Cen MT"/>
                <w:sz w:val="24"/>
              </w:rPr>
              <w:t>though,</w:t>
            </w:r>
            <w:proofErr w:type="gramEnd"/>
            <w:r>
              <w:rPr>
                <w:rFonts w:ascii="Tw Cen MT" w:hAnsi="Tw Cen MT"/>
                <w:sz w:val="24"/>
              </w:rPr>
              <w:t xml:space="preserve"> some may be familiar with them or use them already.  They can help others who are not as familiar.</w:t>
            </w:r>
          </w:p>
          <w:p w:rsidR="00025AAA" w:rsidRDefault="00025AAA" w:rsidP="00C11C95">
            <w:pPr>
              <w:rPr>
                <w:rFonts w:ascii="Tw Cen MT" w:hAnsi="Tw Cen MT"/>
                <w:b/>
                <w:sz w:val="24"/>
                <w:u w:val="single"/>
              </w:rPr>
            </w:pPr>
            <w:r>
              <w:rPr>
                <w:rFonts w:ascii="Tw Cen MT" w:hAnsi="Tw Cen MT"/>
                <w:b/>
                <w:sz w:val="24"/>
                <w:u w:val="single"/>
              </w:rPr>
              <w:t>Internet Safety Lessons:</w:t>
            </w:r>
          </w:p>
          <w:p w:rsidR="00025AAA" w:rsidRPr="00025AAA" w:rsidRDefault="00025AAA" w:rsidP="00025AAA">
            <w:pPr>
              <w:pStyle w:val="ListParagraph"/>
              <w:numPr>
                <w:ilvl w:val="0"/>
                <w:numId w:val="14"/>
              </w:numPr>
              <w:rPr>
                <w:rFonts w:ascii="Tw Cen MT" w:hAnsi="Tw Cen MT"/>
                <w:b/>
                <w:sz w:val="24"/>
                <w:u w:val="single"/>
              </w:rPr>
            </w:pPr>
            <w:r>
              <w:rPr>
                <w:rFonts w:ascii="Tw Cen MT" w:hAnsi="Tw Cen MT"/>
                <w:sz w:val="24"/>
              </w:rPr>
              <w:t>The Internet Safety unit consists of five lessons complete with teacher Power Point presentation and student activities.</w:t>
            </w:r>
          </w:p>
          <w:p w:rsidR="00025AAA" w:rsidRPr="00025AAA" w:rsidRDefault="00025AAA" w:rsidP="00025AAA">
            <w:pPr>
              <w:pStyle w:val="ListParagraph"/>
              <w:numPr>
                <w:ilvl w:val="0"/>
                <w:numId w:val="14"/>
              </w:numPr>
              <w:rPr>
                <w:rFonts w:ascii="Tw Cen MT" w:hAnsi="Tw Cen MT"/>
                <w:sz w:val="24"/>
              </w:rPr>
            </w:pPr>
            <w:r>
              <w:rPr>
                <w:rFonts w:ascii="Tw Cen MT" w:hAnsi="Tw Cen MT"/>
                <w:sz w:val="24"/>
              </w:rPr>
              <w:t>Each covers topics that will provide students with a foundation for exploring</w:t>
            </w:r>
            <w:r w:rsidRPr="00025AAA">
              <w:rPr>
                <w:rFonts w:ascii="Tw Cen MT" w:hAnsi="Tw Cen MT"/>
                <w:sz w:val="24"/>
              </w:rPr>
              <w:t xml:space="preserve"> how the Internet offers </w:t>
            </w:r>
            <w:r>
              <w:rPr>
                <w:rFonts w:ascii="Tw Cen MT" w:hAnsi="Tw Cen MT"/>
                <w:sz w:val="24"/>
              </w:rPr>
              <w:t>opportunities</w:t>
            </w:r>
            <w:r w:rsidRPr="00025AAA">
              <w:rPr>
                <w:rFonts w:ascii="Tw Cen MT" w:hAnsi="Tw Cen MT"/>
                <w:sz w:val="24"/>
              </w:rPr>
              <w:t xml:space="preserve"> to coll</w:t>
            </w:r>
            <w:r>
              <w:rPr>
                <w:rFonts w:ascii="Tw Cen MT" w:hAnsi="Tw Cen MT"/>
                <w:sz w:val="24"/>
              </w:rPr>
              <w:t>aborate with others worldwide, but how crucial it is to still stay</w:t>
            </w:r>
            <w:r w:rsidRPr="00025AAA">
              <w:rPr>
                <w:rFonts w:ascii="Tw Cen MT" w:hAnsi="Tw Cen MT"/>
                <w:sz w:val="24"/>
              </w:rPr>
              <w:t xml:space="preserve"> safe by learning to protect their own privacy and respect others’ privacy.</w:t>
            </w:r>
          </w:p>
          <w:p w:rsidR="00025AAA" w:rsidRDefault="00025AAA" w:rsidP="00025AAA">
            <w:pPr>
              <w:pStyle w:val="ListParagraph"/>
              <w:numPr>
                <w:ilvl w:val="0"/>
                <w:numId w:val="14"/>
              </w:numPr>
              <w:rPr>
                <w:rFonts w:ascii="Tw Cen MT" w:hAnsi="Tw Cen MT"/>
                <w:sz w:val="24"/>
              </w:rPr>
            </w:pPr>
            <w:r>
              <w:rPr>
                <w:rFonts w:ascii="Tw Cen MT" w:hAnsi="Tw Cen MT"/>
                <w:sz w:val="24"/>
              </w:rPr>
              <w:t>Share with s</w:t>
            </w:r>
            <w:r w:rsidRPr="00025AAA">
              <w:rPr>
                <w:rFonts w:ascii="Tw Cen MT" w:hAnsi="Tw Cen MT"/>
                <w:sz w:val="24"/>
              </w:rPr>
              <w:t xml:space="preserve">tudents </w:t>
            </w:r>
            <w:r>
              <w:rPr>
                <w:rFonts w:ascii="Tw Cen MT" w:hAnsi="Tw Cen MT"/>
                <w:sz w:val="24"/>
              </w:rPr>
              <w:t xml:space="preserve">that they </w:t>
            </w:r>
            <w:r w:rsidRPr="00025AAA">
              <w:rPr>
                <w:rFonts w:ascii="Tw Cen MT" w:hAnsi="Tw Cen MT"/>
                <w:sz w:val="24"/>
              </w:rPr>
              <w:t>will learn strategies for managing their online information and keeping it secure from online risks such a</w:t>
            </w:r>
            <w:r>
              <w:rPr>
                <w:rFonts w:ascii="Tw Cen MT" w:hAnsi="Tw Cen MT"/>
                <w:sz w:val="24"/>
              </w:rPr>
              <w:t>s identity thieves and phishing.  S</w:t>
            </w:r>
            <w:r w:rsidRPr="00025AAA">
              <w:rPr>
                <w:rFonts w:ascii="Tw Cen MT" w:hAnsi="Tw Cen MT"/>
                <w:sz w:val="24"/>
              </w:rPr>
              <w:t xml:space="preserve">tudents will </w:t>
            </w:r>
            <w:r>
              <w:rPr>
                <w:rFonts w:ascii="Tw Cen MT" w:hAnsi="Tw Cen MT"/>
                <w:sz w:val="24"/>
              </w:rPr>
              <w:t xml:space="preserve">also </w:t>
            </w:r>
            <w:r w:rsidRPr="00025AAA">
              <w:rPr>
                <w:rFonts w:ascii="Tw Cen MT" w:hAnsi="Tw Cen MT"/>
                <w:sz w:val="24"/>
              </w:rPr>
              <w:t xml:space="preserve">learn what to do if they are involved in a </w:t>
            </w:r>
            <w:r w:rsidRPr="00025AAA">
              <w:rPr>
                <w:rFonts w:ascii="Tw Cen MT" w:hAnsi="Tw Cen MT"/>
                <w:sz w:val="24"/>
              </w:rPr>
              <w:t>cyber-bullying</w:t>
            </w:r>
            <w:r w:rsidRPr="00025AAA">
              <w:rPr>
                <w:rFonts w:ascii="Tw Cen MT" w:hAnsi="Tw Cen MT"/>
                <w:sz w:val="24"/>
              </w:rPr>
              <w:t xml:space="preserve"> situation.</w:t>
            </w:r>
          </w:p>
          <w:p w:rsidR="00025AAA" w:rsidRDefault="00025AAA" w:rsidP="00025AAA">
            <w:pPr>
              <w:pStyle w:val="ListParagraph"/>
              <w:numPr>
                <w:ilvl w:val="0"/>
                <w:numId w:val="14"/>
              </w:numPr>
              <w:rPr>
                <w:rFonts w:ascii="Tw Cen MT" w:hAnsi="Tw Cen MT"/>
                <w:sz w:val="24"/>
              </w:rPr>
            </w:pPr>
            <w:r>
              <w:rPr>
                <w:rFonts w:ascii="Tw Cen MT" w:hAnsi="Tw Cen MT"/>
                <w:sz w:val="24"/>
              </w:rPr>
              <w:t>Lessons are located in the internet safety link and include:</w:t>
            </w:r>
          </w:p>
          <w:p w:rsidR="00025AAA" w:rsidRPr="00025AAA" w:rsidRDefault="00025AAA" w:rsidP="00025AAA">
            <w:pPr>
              <w:pStyle w:val="ListParagraph"/>
              <w:numPr>
                <w:ilvl w:val="1"/>
                <w:numId w:val="14"/>
              </w:numPr>
              <w:rPr>
                <w:rFonts w:ascii="Tw Cen MT" w:hAnsi="Tw Cen MT"/>
                <w:sz w:val="24"/>
              </w:rPr>
            </w:pPr>
            <w:r w:rsidRPr="00025AAA">
              <w:rPr>
                <w:rFonts w:ascii="Tw Cen MT" w:hAnsi="Tw Cen MT"/>
                <w:sz w:val="24"/>
              </w:rPr>
              <w:t>Lesson 1: Digital Life</w:t>
            </w:r>
          </w:p>
          <w:p w:rsidR="00025AAA" w:rsidRPr="00025AAA" w:rsidRDefault="00025AAA" w:rsidP="00025AAA">
            <w:pPr>
              <w:pStyle w:val="ListParagraph"/>
              <w:numPr>
                <w:ilvl w:val="1"/>
                <w:numId w:val="14"/>
              </w:numPr>
              <w:rPr>
                <w:rFonts w:ascii="Tw Cen MT" w:hAnsi="Tw Cen MT"/>
                <w:sz w:val="24"/>
              </w:rPr>
            </w:pPr>
            <w:r w:rsidRPr="00025AAA">
              <w:rPr>
                <w:rFonts w:ascii="Tw Cen MT" w:hAnsi="Tw Cen MT"/>
                <w:sz w:val="24"/>
              </w:rPr>
              <w:t>Lesson 2: Oops!  I Broadcast It on the Internet</w:t>
            </w:r>
          </w:p>
          <w:p w:rsidR="00025AAA" w:rsidRPr="00025AAA" w:rsidRDefault="00025AAA" w:rsidP="00025AAA">
            <w:pPr>
              <w:pStyle w:val="ListParagraph"/>
              <w:numPr>
                <w:ilvl w:val="1"/>
                <w:numId w:val="14"/>
              </w:numPr>
              <w:rPr>
                <w:rFonts w:ascii="Tw Cen MT" w:hAnsi="Tw Cen MT"/>
                <w:sz w:val="24"/>
              </w:rPr>
            </w:pPr>
            <w:r w:rsidRPr="00025AAA">
              <w:rPr>
                <w:rFonts w:ascii="Tw Cen MT" w:hAnsi="Tw Cen MT"/>
                <w:sz w:val="24"/>
              </w:rPr>
              <w:t>Lesson 3: Copyrights &amp; Wrongs</w:t>
            </w:r>
          </w:p>
          <w:p w:rsidR="00025AAA" w:rsidRPr="00025AAA" w:rsidRDefault="00025AAA" w:rsidP="00025AAA">
            <w:pPr>
              <w:pStyle w:val="ListParagraph"/>
              <w:numPr>
                <w:ilvl w:val="1"/>
                <w:numId w:val="14"/>
              </w:numPr>
              <w:rPr>
                <w:rFonts w:ascii="Tw Cen MT" w:hAnsi="Tw Cen MT"/>
                <w:sz w:val="24"/>
              </w:rPr>
            </w:pPr>
            <w:r w:rsidRPr="00025AAA">
              <w:rPr>
                <w:rFonts w:ascii="Tw Cen MT" w:hAnsi="Tw Cen MT"/>
                <w:sz w:val="24"/>
              </w:rPr>
              <w:t>Lesson 4: Feeling on Display</w:t>
            </w:r>
          </w:p>
          <w:p w:rsidR="00025AAA" w:rsidRPr="00025AAA" w:rsidRDefault="00025AAA" w:rsidP="00025AAA">
            <w:pPr>
              <w:pStyle w:val="ListParagraph"/>
              <w:numPr>
                <w:ilvl w:val="1"/>
                <w:numId w:val="14"/>
              </w:numPr>
              <w:rPr>
                <w:rFonts w:ascii="Tw Cen MT" w:hAnsi="Tw Cen MT"/>
                <w:sz w:val="24"/>
              </w:rPr>
            </w:pPr>
            <w:r w:rsidRPr="00025AAA">
              <w:rPr>
                <w:rFonts w:ascii="Tw Cen MT" w:hAnsi="Tw Cen MT"/>
                <w:sz w:val="24"/>
              </w:rPr>
              <w:t>Lesson 5: My Online Code</w:t>
            </w:r>
            <w:bookmarkStart w:id="0" w:name="_GoBack"/>
            <w:bookmarkEnd w:id="0"/>
          </w:p>
          <w:p w:rsidR="00C11C95" w:rsidRPr="00C11C95" w:rsidRDefault="00C11C95" w:rsidP="00C11C95">
            <w:pPr>
              <w:rPr>
                <w:rFonts w:ascii="Tw Cen MT" w:hAnsi="Tw Cen MT"/>
                <w:sz w:val="24"/>
              </w:rPr>
            </w:pPr>
            <w:r>
              <w:rPr>
                <w:rFonts w:ascii="Tw Cen MT" w:hAnsi="Tw Cen MT"/>
                <w:b/>
                <w:sz w:val="24"/>
                <w:u w:val="single"/>
              </w:rPr>
              <w:t>Permission Slip Review:</w:t>
            </w:r>
            <w:r w:rsidRPr="00C11C95">
              <w:rPr>
                <w:rFonts w:ascii="Tw Cen MT" w:hAnsi="Tw Cen MT"/>
                <w:sz w:val="24"/>
              </w:rPr>
              <w:t xml:space="preserve"> </w:t>
            </w:r>
          </w:p>
          <w:p w:rsidR="00A112B7" w:rsidRPr="00A112B7" w:rsidRDefault="00A112B7" w:rsidP="007560C9">
            <w:pPr>
              <w:pStyle w:val="Default"/>
              <w:numPr>
                <w:ilvl w:val="0"/>
                <w:numId w:val="7"/>
              </w:numPr>
              <w:rPr>
                <w:i/>
                <w:color w:val="auto"/>
                <w:sz w:val="20"/>
              </w:rPr>
            </w:pPr>
            <w:r>
              <w:rPr>
                <w:b/>
                <w:u w:val="single"/>
              </w:rPr>
              <w:t>Review</w:t>
            </w:r>
            <w:r>
              <w:rPr>
                <w:u w:val="single"/>
              </w:rPr>
              <w:t xml:space="preserve"> </w:t>
            </w:r>
            <w:r>
              <w:t xml:space="preserve">and </w:t>
            </w:r>
            <w:r>
              <w:t>the course permission slip using the projector.</w:t>
            </w:r>
          </w:p>
          <w:p w:rsidR="00A112B7" w:rsidRPr="00BA5788" w:rsidRDefault="00BA5788" w:rsidP="007560C9">
            <w:pPr>
              <w:pStyle w:val="Default"/>
              <w:numPr>
                <w:ilvl w:val="0"/>
                <w:numId w:val="7"/>
              </w:numPr>
              <w:rPr>
                <w:i/>
                <w:color w:val="auto"/>
                <w:sz w:val="20"/>
              </w:rPr>
            </w:pPr>
            <w:r>
              <w:t xml:space="preserve">Be sure to review the Acceptable Use Policy/Procedure documents thoroughly and answer any questions associated with the document. </w:t>
            </w:r>
          </w:p>
          <w:p w:rsidR="00BA5788" w:rsidRPr="00BA5788" w:rsidRDefault="00BA5788" w:rsidP="00BA5788">
            <w:pPr>
              <w:pStyle w:val="Default"/>
              <w:numPr>
                <w:ilvl w:val="0"/>
                <w:numId w:val="7"/>
              </w:numPr>
              <w:rPr>
                <w:b/>
                <w:i/>
                <w:color w:val="auto"/>
                <w:sz w:val="20"/>
              </w:rPr>
            </w:pPr>
            <w:r>
              <w:rPr>
                <w:b/>
                <w:u w:val="single"/>
              </w:rPr>
              <w:t>Discuss</w:t>
            </w:r>
            <w:r>
              <w:t xml:space="preserve"> </w:t>
            </w:r>
            <w:r w:rsidRPr="00BA5788">
              <w:rPr>
                <w:b/>
                <w:i/>
              </w:rPr>
              <w:t xml:space="preserve">What are the expectations set out by both of these documents?  </w:t>
            </w:r>
          </w:p>
          <w:p w:rsidR="00BA5788" w:rsidRPr="00654146" w:rsidRDefault="00BA5788" w:rsidP="00BA5788">
            <w:pPr>
              <w:pStyle w:val="Default"/>
              <w:numPr>
                <w:ilvl w:val="0"/>
                <w:numId w:val="7"/>
              </w:numPr>
              <w:rPr>
                <w:b/>
                <w:i/>
                <w:color w:val="auto"/>
                <w:sz w:val="20"/>
              </w:rPr>
            </w:pPr>
            <w:r>
              <w:t>Provide students with a due date based on when you would like to collect all permission slips.</w:t>
            </w:r>
          </w:p>
          <w:p w:rsidR="00654146" w:rsidRDefault="00654146" w:rsidP="00654146">
            <w:pPr>
              <w:pStyle w:val="Default"/>
              <w:rPr>
                <w:b/>
                <w:u w:val="single"/>
              </w:rPr>
            </w:pPr>
            <w:r>
              <w:rPr>
                <w:b/>
                <w:u w:val="single"/>
              </w:rPr>
              <w:t>Assessments &amp; Exploration Tools:</w:t>
            </w:r>
          </w:p>
          <w:p w:rsidR="00654146" w:rsidRDefault="00654146" w:rsidP="00654146">
            <w:pPr>
              <w:pStyle w:val="ListParagraph"/>
              <w:numPr>
                <w:ilvl w:val="0"/>
                <w:numId w:val="13"/>
              </w:numPr>
              <w:rPr>
                <w:rFonts w:ascii="Tw Cen MT" w:hAnsi="Tw Cen MT"/>
                <w:b/>
                <w:sz w:val="24"/>
                <w:szCs w:val="20"/>
              </w:rPr>
            </w:pPr>
            <w:r w:rsidRPr="00654146">
              <w:rPr>
                <w:rFonts w:ascii="Tw Cen MT" w:hAnsi="Tw Cen MT"/>
                <w:b/>
                <w:u w:val="single"/>
              </w:rPr>
              <w:t>Review &amp; discuss</w:t>
            </w:r>
            <w:r w:rsidRPr="00654146">
              <w:rPr>
                <w:rFonts w:ascii="Tw Cen MT" w:hAnsi="Tw Cen MT"/>
              </w:rPr>
              <w:t xml:space="preserve"> the different Assessments &amp; Exploration Tools students will be using by </w:t>
            </w:r>
            <w:r w:rsidRPr="00654146">
              <w:rPr>
                <w:rFonts w:ascii="Tw Cen MT" w:hAnsi="Tw Cen MT"/>
                <w:sz w:val="24"/>
              </w:rPr>
              <w:t>demonstrating</w:t>
            </w:r>
            <w:r w:rsidRPr="00654146">
              <w:rPr>
                <w:rFonts w:ascii="Tw Cen MT" w:hAnsi="Tw Cen MT"/>
                <w:sz w:val="24"/>
              </w:rPr>
              <w:t xml:space="preserve"> using the projector, the various tools by using the step by step handouts found in the folder</w:t>
            </w:r>
            <w:r w:rsidRPr="00654146">
              <w:rPr>
                <w:rFonts w:ascii="Tw Cen MT" w:hAnsi="Tw Cen MT"/>
                <w:sz w:val="24"/>
              </w:rPr>
              <w:t xml:space="preserve"> titled </w:t>
            </w:r>
            <w:r w:rsidRPr="00654146">
              <w:rPr>
                <w:rFonts w:ascii="Tw Cen MT" w:hAnsi="Tw Cen MT"/>
                <w:b/>
                <w:sz w:val="24"/>
                <w:szCs w:val="20"/>
              </w:rPr>
              <w:t>Helpdocs_</w:t>
            </w:r>
            <w:proofErr w:type="spellStart"/>
            <w:r w:rsidRPr="00654146">
              <w:rPr>
                <w:rFonts w:ascii="Tw Cen MT" w:hAnsi="Tw Cen MT"/>
                <w:b/>
                <w:sz w:val="24"/>
                <w:szCs w:val="20"/>
              </w:rPr>
              <w:t>Assmts</w:t>
            </w:r>
            <w:proofErr w:type="spellEnd"/>
            <w:r w:rsidRPr="00654146">
              <w:rPr>
                <w:rFonts w:ascii="Tw Cen MT" w:hAnsi="Tw Cen MT"/>
                <w:b/>
                <w:sz w:val="24"/>
                <w:szCs w:val="20"/>
              </w:rPr>
              <w:t>._</w:t>
            </w:r>
            <w:proofErr w:type="spellStart"/>
            <w:r w:rsidRPr="00654146">
              <w:rPr>
                <w:rFonts w:ascii="Tw Cen MT" w:hAnsi="Tw Cen MT"/>
                <w:b/>
                <w:sz w:val="24"/>
                <w:szCs w:val="20"/>
              </w:rPr>
              <w:t>Explr.Tools</w:t>
            </w:r>
            <w:proofErr w:type="spellEnd"/>
            <w:r w:rsidRPr="00654146">
              <w:rPr>
                <w:rFonts w:ascii="Tw Cen MT" w:hAnsi="Tw Cen MT"/>
                <w:b/>
                <w:sz w:val="24"/>
                <w:szCs w:val="20"/>
              </w:rPr>
              <w:t>.</w:t>
            </w:r>
          </w:p>
          <w:p w:rsidR="003D7D04" w:rsidRPr="00654146" w:rsidRDefault="00654146" w:rsidP="00654146">
            <w:pPr>
              <w:pStyle w:val="ListParagraph"/>
              <w:numPr>
                <w:ilvl w:val="0"/>
                <w:numId w:val="13"/>
              </w:numPr>
              <w:rPr>
                <w:rFonts w:ascii="Tw Cen MT" w:hAnsi="Tw Cen MT"/>
                <w:b/>
                <w:sz w:val="26"/>
                <w:szCs w:val="20"/>
              </w:rPr>
            </w:pPr>
            <w:r w:rsidRPr="00654146">
              <w:rPr>
                <w:rFonts w:ascii="Tw Cen MT" w:hAnsi="Tw Cen MT"/>
                <w:sz w:val="24"/>
              </w:rPr>
              <w:t xml:space="preserve">It is important that students understand the different tools and how to complete either the assessment or exploration &amp; locate the data they generate. </w:t>
            </w:r>
          </w:p>
          <w:p w:rsidR="00654146" w:rsidRPr="00654146" w:rsidRDefault="00654146" w:rsidP="00654146">
            <w:pPr>
              <w:pStyle w:val="ListParagraph"/>
              <w:numPr>
                <w:ilvl w:val="0"/>
                <w:numId w:val="13"/>
              </w:numPr>
              <w:rPr>
                <w:rFonts w:ascii="Tw Cen MT" w:hAnsi="Tw Cen MT"/>
                <w:b/>
                <w:sz w:val="26"/>
                <w:szCs w:val="20"/>
              </w:rPr>
            </w:pPr>
            <w:r>
              <w:rPr>
                <w:rFonts w:ascii="Tw Cen MT" w:hAnsi="Tw Cen MT"/>
                <w:sz w:val="24"/>
              </w:rPr>
              <w:t xml:space="preserve">Students will be using this data throughout different parts of the Senior Seminar course. </w:t>
            </w:r>
          </w:p>
        </w:tc>
      </w:tr>
      <w:tr w:rsidR="00FF4AF9" w:rsidTr="00AA042D">
        <w:tc>
          <w:tcPr>
            <w:tcW w:w="1838" w:type="dxa"/>
          </w:tcPr>
          <w:p w:rsidR="001809FF" w:rsidRPr="00F30A95" w:rsidRDefault="00F30A95">
            <w:pPr>
              <w:rPr>
                <w:rFonts w:ascii="Tw Cen MT" w:hAnsi="Tw Cen MT"/>
                <w:b/>
                <w:sz w:val="24"/>
              </w:rPr>
            </w:pPr>
            <w:r>
              <w:rPr>
                <w:rFonts w:ascii="Tw Cen MT" w:hAnsi="Tw Cen MT"/>
                <w:b/>
                <w:sz w:val="24"/>
              </w:rPr>
              <w:lastRenderedPageBreak/>
              <w:t>Additional Resources:</w:t>
            </w:r>
          </w:p>
        </w:tc>
        <w:tc>
          <w:tcPr>
            <w:tcW w:w="12778" w:type="dxa"/>
            <w:gridSpan w:val="3"/>
          </w:tcPr>
          <w:p w:rsidR="006A132E" w:rsidRDefault="006A132E" w:rsidP="002571A3">
            <w:pPr>
              <w:rPr>
                <w:rFonts w:ascii="Tw Cen MT" w:hAnsi="Tw Cen MT"/>
                <w:sz w:val="20"/>
                <w:szCs w:val="20"/>
              </w:rPr>
            </w:pPr>
            <w:r>
              <w:rPr>
                <w:rFonts w:ascii="Tw Cen MT" w:hAnsi="Tw Cen MT"/>
                <w:sz w:val="20"/>
                <w:szCs w:val="20"/>
              </w:rPr>
              <w:t xml:space="preserve"> </w:t>
            </w:r>
            <w:r w:rsidR="0061139C" w:rsidRPr="0061139C">
              <w:rPr>
                <w:rFonts w:ascii="Tw Cen MT" w:hAnsi="Tw Cen MT"/>
                <w:sz w:val="20"/>
                <w:szCs w:val="20"/>
              </w:rPr>
              <w:t>Senior Seminar 21st Century Skills Rubric</w:t>
            </w:r>
          </w:p>
          <w:p w:rsidR="0061139C" w:rsidRPr="006A132E" w:rsidRDefault="0061139C" w:rsidP="002571A3">
            <w:pPr>
              <w:rPr>
                <w:rFonts w:ascii="Tw Cen MT" w:hAnsi="Tw Cen MT"/>
                <w:sz w:val="20"/>
                <w:szCs w:val="20"/>
              </w:rPr>
            </w:pPr>
            <w:r w:rsidRPr="0061139C">
              <w:rPr>
                <w:rFonts w:ascii="Tw Cen MT" w:hAnsi="Tw Cen MT"/>
                <w:sz w:val="20"/>
                <w:szCs w:val="20"/>
              </w:rPr>
              <w:t>Senior Seminar Syllabus</w:t>
            </w:r>
          </w:p>
        </w:tc>
      </w:tr>
    </w:tbl>
    <w:p w:rsidR="00FE49C7" w:rsidRPr="002A5343" w:rsidRDefault="00FE49C7" w:rsidP="00E11087">
      <w:pPr>
        <w:rPr>
          <w:rFonts w:ascii="Tw Cen MT" w:hAnsi="Tw Cen MT"/>
          <w:b/>
          <w:sz w:val="28"/>
        </w:rPr>
      </w:pPr>
    </w:p>
    <w:sectPr w:rsidR="00FE49C7" w:rsidRPr="002A5343" w:rsidSect="00301A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7E3"/>
    <w:multiLevelType w:val="hybridMultilevel"/>
    <w:tmpl w:val="08AAA952"/>
    <w:lvl w:ilvl="0" w:tplc="15885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7181F"/>
    <w:multiLevelType w:val="hybridMultilevel"/>
    <w:tmpl w:val="FFECA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516117"/>
    <w:multiLevelType w:val="hybridMultilevel"/>
    <w:tmpl w:val="F6582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9A0D2D"/>
    <w:multiLevelType w:val="hybridMultilevel"/>
    <w:tmpl w:val="5B30D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3A9236E"/>
    <w:multiLevelType w:val="hybridMultilevel"/>
    <w:tmpl w:val="908028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030E6F"/>
    <w:multiLevelType w:val="hybridMultilevel"/>
    <w:tmpl w:val="D2B02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7F051A"/>
    <w:multiLevelType w:val="hybridMultilevel"/>
    <w:tmpl w:val="8F984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35C6E56"/>
    <w:multiLevelType w:val="hybridMultilevel"/>
    <w:tmpl w:val="2EFE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CA6DE1"/>
    <w:multiLevelType w:val="hybridMultilevel"/>
    <w:tmpl w:val="2EC23E00"/>
    <w:lvl w:ilvl="0" w:tplc="A516D7B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FF5BF9"/>
    <w:multiLevelType w:val="hybridMultilevel"/>
    <w:tmpl w:val="27D0A926"/>
    <w:lvl w:ilvl="0" w:tplc="5502ABA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FE1CB3"/>
    <w:multiLevelType w:val="hybridMultilevel"/>
    <w:tmpl w:val="7614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110796F"/>
    <w:multiLevelType w:val="hybridMultilevel"/>
    <w:tmpl w:val="0518C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FA018A2"/>
    <w:multiLevelType w:val="hybridMultilevel"/>
    <w:tmpl w:val="47920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18F5BB4"/>
    <w:multiLevelType w:val="hybridMultilevel"/>
    <w:tmpl w:val="706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1"/>
  </w:num>
  <w:num w:numId="4">
    <w:abstractNumId w:val="9"/>
  </w:num>
  <w:num w:numId="5">
    <w:abstractNumId w:val="8"/>
  </w:num>
  <w:num w:numId="6">
    <w:abstractNumId w:val="0"/>
  </w:num>
  <w:num w:numId="7">
    <w:abstractNumId w:val="6"/>
  </w:num>
  <w:num w:numId="8">
    <w:abstractNumId w:val="3"/>
  </w:num>
  <w:num w:numId="9">
    <w:abstractNumId w:val="5"/>
  </w:num>
  <w:num w:numId="10">
    <w:abstractNumId w:val="7"/>
  </w:num>
  <w:num w:numId="11">
    <w:abstractNumId w:val="2"/>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90"/>
    <w:rsid w:val="00002D61"/>
    <w:rsid w:val="00025AAA"/>
    <w:rsid w:val="00026BC3"/>
    <w:rsid w:val="00070789"/>
    <w:rsid w:val="0007276D"/>
    <w:rsid w:val="0011551B"/>
    <w:rsid w:val="00177C7C"/>
    <w:rsid w:val="001809FF"/>
    <w:rsid w:val="0018400C"/>
    <w:rsid w:val="00192A18"/>
    <w:rsid w:val="001C47DC"/>
    <w:rsid w:val="001E4E54"/>
    <w:rsid w:val="001F733D"/>
    <w:rsid w:val="00237C73"/>
    <w:rsid w:val="002526CA"/>
    <w:rsid w:val="00256091"/>
    <w:rsid w:val="002571A3"/>
    <w:rsid w:val="00262E3D"/>
    <w:rsid w:val="002A5343"/>
    <w:rsid w:val="00301AA3"/>
    <w:rsid w:val="0032261A"/>
    <w:rsid w:val="00351BF6"/>
    <w:rsid w:val="003522B4"/>
    <w:rsid w:val="00361904"/>
    <w:rsid w:val="003C33AF"/>
    <w:rsid w:val="003D7D04"/>
    <w:rsid w:val="004A0B91"/>
    <w:rsid w:val="004B5C74"/>
    <w:rsid w:val="004C7676"/>
    <w:rsid w:val="004D03A8"/>
    <w:rsid w:val="004D70B0"/>
    <w:rsid w:val="00522334"/>
    <w:rsid w:val="00532363"/>
    <w:rsid w:val="00591641"/>
    <w:rsid w:val="005927EF"/>
    <w:rsid w:val="0061139C"/>
    <w:rsid w:val="00647F49"/>
    <w:rsid w:val="00654146"/>
    <w:rsid w:val="006A132E"/>
    <w:rsid w:val="006F1D09"/>
    <w:rsid w:val="00737AF0"/>
    <w:rsid w:val="00751D42"/>
    <w:rsid w:val="007560C9"/>
    <w:rsid w:val="007664C1"/>
    <w:rsid w:val="007C7ED4"/>
    <w:rsid w:val="00815005"/>
    <w:rsid w:val="00865CAC"/>
    <w:rsid w:val="008E5449"/>
    <w:rsid w:val="00913B9E"/>
    <w:rsid w:val="00925F72"/>
    <w:rsid w:val="00950984"/>
    <w:rsid w:val="00950A92"/>
    <w:rsid w:val="00965EE0"/>
    <w:rsid w:val="0098755A"/>
    <w:rsid w:val="00987BFC"/>
    <w:rsid w:val="009F0BC1"/>
    <w:rsid w:val="00A0006B"/>
    <w:rsid w:val="00A112B7"/>
    <w:rsid w:val="00A12414"/>
    <w:rsid w:val="00A17E2A"/>
    <w:rsid w:val="00A26AA5"/>
    <w:rsid w:val="00A52ACB"/>
    <w:rsid w:val="00A57582"/>
    <w:rsid w:val="00A81ABF"/>
    <w:rsid w:val="00A857D4"/>
    <w:rsid w:val="00AA042D"/>
    <w:rsid w:val="00AF377A"/>
    <w:rsid w:val="00B062C8"/>
    <w:rsid w:val="00BA5788"/>
    <w:rsid w:val="00BD57F7"/>
    <w:rsid w:val="00BE13EC"/>
    <w:rsid w:val="00C01610"/>
    <w:rsid w:val="00C11C95"/>
    <w:rsid w:val="00C12543"/>
    <w:rsid w:val="00C22336"/>
    <w:rsid w:val="00C37717"/>
    <w:rsid w:val="00C47F1C"/>
    <w:rsid w:val="00D62F32"/>
    <w:rsid w:val="00D7139D"/>
    <w:rsid w:val="00DB0143"/>
    <w:rsid w:val="00E03130"/>
    <w:rsid w:val="00E11087"/>
    <w:rsid w:val="00E20DCE"/>
    <w:rsid w:val="00E41BA9"/>
    <w:rsid w:val="00E561A0"/>
    <w:rsid w:val="00E7313F"/>
    <w:rsid w:val="00E81FAC"/>
    <w:rsid w:val="00E85D33"/>
    <w:rsid w:val="00E8733D"/>
    <w:rsid w:val="00EA6920"/>
    <w:rsid w:val="00EC2390"/>
    <w:rsid w:val="00EC6F80"/>
    <w:rsid w:val="00EE3C80"/>
    <w:rsid w:val="00F158BF"/>
    <w:rsid w:val="00F262B5"/>
    <w:rsid w:val="00F30A95"/>
    <w:rsid w:val="00F4478A"/>
    <w:rsid w:val="00F93873"/>
    <w:rsid w:val="00FB26FA"/>
    <w:rsid w:val="00FD7F42"/>
    <w:rsid w:val="00FE49C7"/>
    <w:rsid w:val="00FF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7558">
      <w:bodyDiv w:val="1"/>
      <w:marLeft w:val="0"/>
      <w:marRight w:val="0"/>
      <w:marTop w:val="0"/>
      <w:marBottom w:val="0"/>
      <w:divBdr>
        <w:top w:val="none" w:sz="0" w:space="0" w:color="auto"/>
        <w:left w:val="none" w:sz="0" w:space="0" w:color="auto"/>
        <w:bottom w:val="none" w:sz="0" w:space="0" w:color="auto"/>
        <w:right w:val="none" w:sz="0" w:space="0" w:color="auto"/>
      </w:divBdr>
      <w:divsChild>
        <w:div w:id="1033070752">
          <w:marLeft w:val="0"/>
          <w:marRight w:val="0"/>
          <w:marTop w:val="0"/>
          <w:marBottom w:val="0"/>
          <w:divBdr>
            <w:top w:val="none" w:sz="0" w:space="0" w:color="auto"/>
            <w:left w:val="none" w:sz="0" w:space="0" w:color="auto"/>
            <w:bottom w:val="none" w:sz="0" w:space="0" w:color="auto"/>
            <w:right w:val="none" w:sz="0" w:space="0" w:color="auto"/>
          </w:divBdr>
        </w:div>
        <w:div w:id="1884978468">
          <w:marLeft w:val="0"/>
          <w:marRight w:val="0"/>
          <w:marTop w:val="0"/>
          <w:marBottom w:val="0"/>
          <w:divBdr>
            <w:top w:val="none" w:sz="0" w:space="0" w:color="auto"/>
            <w:left w:val="none" w:sz="0" w:space="0" w:color="auto"/>
            <w:bottom w:val="none" w:sz="0" w:space="0" w:color="auto"/>
            <w:right w:val="none" w:sz="0" w:space="0" w:color="auto"/>
          </w:divBdr>
        </w:div>
        <w:div w:id="130831388">
          <w:marLeft w:val="0"/>
          <w:marRight w:val="0"/>
          <w:marTop w:val="0"/>
          <w:marBottom w:val="0"/>
          <w:divBdr>
            <w:top w:val="none" w:sz="0" w:space="0" w:color="auto"/>
            <w:left w:val="none" w:sz="0" w:space="0" w:color="auto"/>
            <w:bottom w:val="none" w:sz="0" w:space="0" w:color="auto"/>
            <w:right w:val="none" w:sz="0" w:space="0" w:color="auto"/>
          </w:divBdr>
        </w:div>
        <w:div w:id="1727146966">
          <w:marLeft w:val="0"/>
          <w:marRight w:val="0"/>
          <w:marTop w:val="0"/>
          <w:marBottom w:val="0"/>
          <w:divBdr>
            <w:top w:val="none" w:sz="0" w:space="0" w:color="auto"/>
            <w:left w:val="none" w:sz="0" w:space="0" w:color="auto"/>
            <w:bottom w:val="none" w:sz="0" w:space="0" w:color="auto"/>
            <w:right w:val="none" w:sz="0" w:space="0" w:color="auto"/>
          </w:divBdr>
        </w:div>
        <w:div w:id="1045905576">
          <w:marLeft w:val="0"/>
          <w:marRight w:val="0"/>
          <w:marTop w:val="0"/>
          <w:marBottom w:val="0"/>
          <w:divBdr>
            <w:top w:val="none" w:sz="0" w:space="0" w:color="auto"/>
            <w:left w:val="none" w:sz="0" w:space="0" w:color="auto"/>
            <w:bottom w:val="none" w:sz="0" w:space="0" w:color="auto"/>
            <w:right w:val="none" w:sz="0" w:space="0" w:color="auto"/>
          </w:divBdr>
        </w:div>
      </w:divsChild>
    </w:div>
    <w:div w:id="31929499">
      <w:bodyDiv w:val="1"/>
      <w:marLeft w:val="0"/>
      <w:marRight w:val="0"/>
      <w:marTop w:val="0"/>
      <w:marBottom w:val="0"/>
      <w:divBdr>
        <w:top w:val="none" w:sz="0" w:space="0" w:color="auto"/>
        <w:left w:val="none" w:sz="0" w:space="0" w:color="auto"/>
        <w:bottom w:val="none" w:sz="0" w:space="0" w:color="auto"/>
        <w:right w:val="none" w:sz="0" w:space="0" w:color="auto"/>
      </w:divBdr>
      <w:divsChild>
        <w:div w:id="816185698">
          <w:marLeft w:val="0"/>
          <w:marRight w:val="0"/>
          <w:marTop w:val="0"/>
          <w:marBottom w:val="0"/>
          <w:divBdr>
            <w:top w:val="none" w:sz="0" w:space="0" w:color="auto"/>
            <w:left w:val="none" w:sz="0" w:space="0" w:color="auto"/>
            <w:bottom w:val="none" w:sz="0" w:space="0" w:color="auto"/>
            <w:right w:val="none" w:sz="0" w:space="0" w:color="auto"/>
          </w:divBdr>
          <w:divsChild>
            <w:div w:id="447235158">
              <w:marLeft w:val="0"/>
              <w:marRight w:val="0"/>
              <w:marTop w:val="0"/>
              <w:marBottom w:val="0"/>
              <w:divBdr>
                <w:top w:val="none" w:sz="0" w:space="0" w:color="auto"/>
                <w:left w:val="single" w:sz="6" w:space="0" w:color="E2E2E2"/>
                <w:bottom w:val="none" w:sz="0" w:space="0" w:color="auto"/>
                <w:right w:val="single" w:sz="6" w:space="0" w:color="E2E2E2"/>
              </w:divBdr>
              <w:divsChild>
                <w:div w:id="2031639282">
                  <w:marLeft w:val="0"/>
                  <w:marRight w:val="0"/>
                  <w:marTop w:val="0"/>
                  <w:marBottom w:val="0"/>
                  <w:divBdr>
                    <w:top w:val="none" w:sz="0" w:space="0" w:color="auto"/>
                    <w:left w:val="none" w:sz="0" w:space="0" w:color="auto"/>
                    <w:bottom w:val="none" w:sz="0" w:space="0" w:color="auto"/>
                    <w:right w:val="none" w:sz="0" w:space="0" w:color="auto"/>
                  </w:divBdr>
                  <w:divsChild>
                    <w:div w:id="451286768">
                      <w:marLeft w:val="0"/>
                      <w:marRight w:val="0"/>
                      <w:marTop w:val="0"/>
                      <w:marBottom w:val="0"/>
                      <w:divBdr>
                        <w:top w:val="none" w:sz="0" w:space="0" w:color="auto"/>
                        <w:left w:val="none" w:sz="0" w:space="0" w:color="auto"/>
                        <w:bottom w:val="none" w:sz="0" w:space="0" w:color="auto"/>
                        <w:right w:val="none" w:sz="0" w:space="0" w:color="auto"/>
                      </w:divBdr>
                      <w:divsChild>
                        <w:div w:id="1224752056">
                          <w:marLeft w:val="0"/>
                          <w:marRight w:val="0"/>
                          <w:marTop w:val="0"/>
                          <w:marBottom w:val="0"/>
                          <w:divBdr>
                            <w:top w:val="none" w:sz="0" w:space="0" w:color="auto"/>
                            <w:left w:val="none" w:sz="0" w:space="0" w:color="auto"/>
                            <w:bottom w:val="none" w:sz="0" w:space="0" w:color="auto"/>
                            <w:right w:val="none" w:sz="0" w:space="0" w:color="auto"/>
                          </w:divBdr>
                          <w:divsChild>
                            <w:div w:id="19577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035821">
      <w:bodyDiv w:val="1"/>
      <w:marLeft w:val="0"/>
      <w:marRight w:val="0"/>
      <w:marTop w:val="0"/>
      <w:marBottom w:val="0"/>
      <w:divBdr>
        <w:top w:val="none" w:sz="0" w:space="0" w:color="auto"/>
        <w:left w:val="none" w:sz="0" w:space="0" w:color="auto"/>
        <w:bottom w:val="none" w:sz="0" w:space="0" w:color="auto"/>
        <w:right w:val="none" w:sz="0" w:space="0" w:color="auto"/>
      </w:divBdr>
    </w:div>
    <w:div w:id="1409963738">
      <w:bodyDiv w:val="1"/>
      <w:marLeft w:val="0"/>
      <w:marRight w:val="0"/>
      <w:marTop w:val="0"/>
      <w:marBottom w:val="0"/>
      <w:divBdr>
        <w:top w:val="none" w:sz="0" w:space="0" w:color="auto"/>
        <w:left w:val="none" w:sz="0" w:space="0" w:color="auto"/>
        <w:bottom w:val="none" w:sz="0" w:space="0" w:color="auto"/>
        <w:right w:val="none" w:sz="0" w:space="0" w:color="auto"/>
      </w:divBdr>
      <w:divsChild>
        <w:div w:id="336999986">
          <w:marLeft w:val="0"/>
          <w:marRight w:val="0"/>
          <w:marTop w:val="0"/>
          <w:marBottom w:val="0"/>
          <w:divBdr>
            <w:top w:val="none" w:sz="0" w:space="0" w:color="auto"/>
            <w:left w:val="none" w:sz="0" w:space="0" w:color="auto"/>
            <w:bottom w:val="none" w:sz="0" w:space="0" w:color="auto"/>
            <w:right w:val="none" w:sz="0" w:space="0" w:color="auto"/>
          </w:divBdr>
        </w:div>
        <w:div w:id="760487026">
          <w:marLeft w:val="0"/>
          <w:marRight w:val="0"/>
          <w:marTop w:val="0"/>
          <w:marBottom w:val="0"/>
          <w:divBdr>
            <w:top w:val="none" w:sz="0" w:space="0" w:color="auto"/>
            <w:left w:val="none" w:sz="0" w:space="0" w:color="auto"/>
            <w:bottom w:val="none" w:sz="0" w:space="0" w:color="auto"/>
            <w:right w:val="none" w:sz="0" w:space="0" w:color="auto"/>
          </w:divBdr>
        </w:div>
        <w:div w:id="1263343857">
          <w:marLeft w:val="0"/>
          <w:marRight w:val="0"/>
          <w:marTop w:val="0"/>
          <w:marBottom w:val="0"/>
          <w:divBdr>
            <w:top w:val="none" w:sz="0" w:space="0" w:color="auto"/>
            <w:left w:val="none" w:sz="0" w:space="0" w:color="auto"/>
            <w:bottom w:val="none" w:sz="0" w:space="0" w:color="auto"/>
            <w:right w:val="none" w:sz="0" w:space="0" w:color="auto"/>
          </w:divBdr>
        </w:div>
      </w:divsChild>
    </w:div>
    <w:div w:id="1670864097">
      <w:bodyDiv w:val="1"/>
      <w:marLeft w:val="0"/>
      <w:marRight w:val="0"/>
      <w:marTop w:val="0"/>
      <w:marBottom w:val="0"/>
      <w:divBdr>
        <w:top w:val="none" w:sz="0" w:space="0" w:color="auto"/>
        <w:left w:val="none" w:sz="0" w:space="0" w:color="auto"/>
        <w:bottom w:val="none" w:sz="0" w:space="0" w:color="auto"/>
        <w:right w:val="none" w:sz="0" w:space="0" w:color="auto"/>
      </w:divBdr>
      <w:divsChild>
        <w:div w:id="1509520768">
          <w:marLeft w:val="0"/>
          <w:marRight w:val="0"/>
          <w:marTop w:val="0"/>
          <w:marBottom w:val="0"/>
          <w:divBdr>
            <w:top w:val="none" w:sz="0" w:space="0" w:color="auto"/>
            <w:left w:val="none" w:sz="0" w:space="0" w:color="auto"/>
            <w:bottom w:val="none" w:sz="0" w:space="0" w:color="auto"/>
            <w:right w:val="none" w:sz="0" w:space="0" w:color="auto"/>
          </w:divBdr>
        </w:div>
        <w:div w:id="1671759303">
          <w:marLeft w:val="0"/>
          <w:marRight w:val="0"/>
          <w:marTop w:val="0"/>
          <w:marBottom w:val="0"/>
          <w:divBdr>
            <w:top w:val="none" w:sz="0" w:space="0" w:color="auto"/>
            <w:left w:val="none" w:sz="0" w:space="0" w:color="auto"/>
            <w:bottom w:val="none" w:sz="0" w:space="0" w:color="auto"/>
            <w:right w:val="none" w:sz="0" w:space="0" w:color="auto"/>
          </w:divBdr>
        </w:div>
        <w:div w:id="543639958">
          <w:marLeft w:val="0"/>
          <w:marRight w:val="0"/>
          <w:marTop w:val="0"/>
          <w:marBottom w:val="0"/>
          <w:divBdr>
            <w:top w:val="none" w:sz="0" w:space="0" w:color="auto"/>
            <w:left w:val="none" w:sz="0" w:space="0" w:color="auto"/>
            <w:bottom w:val="none" w:sz="0" w:space="0" w:color="auto"/>
            <w:right w:val="none" w:sz="0" w:space="0" w:color="auto"/>
          </w:divBdr>
        </w:div>
        <w:div w:id="50451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A6402-48D7-47B7-9CF2-A4CBFBB0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Pewitt, Sarah</dc:creator>
  <cp:lastModifiedBy>Sarah</cp:lastModifiedBy>
  <cp:revision>16</cp:revision>
  <dcterms:created xsi:type="dcterms:W3CDTF">2013-06-30T12:25:00Z</dcterms:created>
  <dcterms:modified xsi:type="dcterms:W3CDTF">2013-07-19T05:03:00Z</dcterms:modified>
</cp:coreProperties>
</file>